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262AC" w14:textId="77777777" w:rsidR="00773B6C" w:rsidRPr="004E0CA2" w:rsidRDefault="004E0CA2" w:rsidP="0028126B">
      <w:r>
        <w:t>_________________________________________________________________________</w:t>
      </w:r>
    </w:p>
    <w:p w14:paraId="39B262AD" w14:textId="77777777" w:rsidR="00003C7D" w:rsidRDefault="00003C7D" w:rsidP="0028126B"/>
    <w:p w14:paraId="39B262AE" w14:textId="1B4771E4" w:rsidR="00A65430" w:rsidRPr="00003C7D" w:rsidRDefault="00003C7D" w:rsidP="00EE02B6">
      <w:pPr>
        <w:jc w:val="right"/>
      </w:pPr>
      <w:r w:rsidRPr="00003C7D">
        <w:t>Ju</w:t>
      </w:r>
      <w:r w:rsidR="006B3A35">
        <w:t>ly</w:t>
      </w:r>
      <w:r w:rsidRPr="00003C7D">
        <w:t xml:space="preserve"> 1</w:t>
      </w:r>
      <w:r w:rsidR="00224881">
        <w:t>9</w:t>
      </w:r>
      <w:r w:rsidR="006B3A35" w:rsidRPr="00224881">
        <w:rPr>
          <w:vertAlign w:val="superscript"/>
        </w:rPr>
        <w:t>th</w:t>
      </w:r>
      <w:r w:rsidRPr="00003C7D">
        <w:t>, 2011</w:t>
      </w:r>
    </w:p>
    <w:p w14:paraId="39B262AF" w14:textId="77777777" w:rsidR="004E0CA2" w:rsidRPr="004E0CA2" w:rsidRDefault="004E0CA2" w:rsidP="00EE02B6">
      <w:pPr>
        <w:jc w:val="center"/>
      </w:pPr>
      <w:r w:rsidRPr="004E0CA2">
        <w:t>CONCEPT NOTE</w:t>
      </w:r>
    </w:p>
    <w:p w14:paraId="39B262B0" w14:textId="77777777" w:rsidR="004E0CA2" w:rsidRPr="004E0CA2" w:rsidRDefault="004E0CA2" w:rsidP="0028126B">
      <w:pPr>
        <w:rPr>
          <w:rStyle w:val="Strong"/>
        </w:rPr>
      </w:pPr>
    </w:p>
    <w:p w14:paraId="39B262B1" w14:textId="77777777" w:rsidR="004E0CA2" w:rsidRPr="004E0CA2" w:rsidRDefault="00020582" w:rsidP="00EE02B6">
      <w:pPr>
        <w:jc w:val="center"/>
        <w:rPr>
          <w:rStyle w:val="Strong"/>
        </w:rPr>
      </w:pPr>
      <w:r>
        <w:rPr>
          <w:rStyle w:val="Strong"/>
          <w:sz w:val="26"/>
          <w:szCs w:val="26"/>
        </w:rPr>
        <w:t>Government Electronic Payment Gateway (</w:t>
      </w:r>
      <w:proofErr w:type="spellStart"/>
      <w:r>
        <w:rPr>
          <w:rStyle w:val="Strong"/>
          <w:sz w:val="26"/>
          <w:szCs w:val="26"/>
        </w:rPr>
        <w:t>GePG</w:t>
      </w:r>
      <w:proofErr w:type="spellEnd"/>
      <w:r>
        <w:rPr>
          <w:rStyle w:val="Strong"/>
          <w:sz w:val="26"/>
          <w:szCs w:val="26"/>
        </w:rPr>
        <w:t>)</w:t>
      </w:r>
    </w:p>
    <w:p w14:paraId="39B262B2" w14:textId="77777777" w:rsidR="009B25BF" w:rsidRPr="004E0CA2" w:rsidRDefault="009B25BF" w:rsidP="0028126B">
      <w:pPr>
        <w:pStyle w:val="Heading1"/>
      </w:pPr>
      <w:r w:rsidRPr="004E0CA2">
        <w:t>Introduction</w:t>
      </w:r>
    </w:p>
    <w:p w14:paraId="39B262B3" w14:textId="5A566EC7" w:rsidR="001A4A56" w:rsidRDefault="009B25BF" w:rsidP="0028126B">
      <w:r w:rsidRPr="004E0CA2">
        <w:t>The Government of Moldova, as part of its e-transformation initiatives, is building a shared infrastructure – a new e-government technolog</w:t>
      </w:r>
      <w:bookmarkStart w:id="0" w:name="_GoBack"/>
      <w:bookmarkEnd w:id="0"/>
      <w:r w:rsidRPr="004E0CA2">
        <w:t xml:space="preserve">y platform using modern technologies such as cloud computing and offering multichannel access to information including access from mobile devices. At the </w:t>
      </w:r>
      <w:r w:rsidR="00175C13">
        <w:t>Platform as a Service</w:t>
      </w:r>
      <w:r w:rsidR="00175C13" w:rsidRPr="004E0CA2">
        <w:t xml:space="preserve"> </w:t>
      </w:r>
      <w:r w:rsidRPr="004E0CA2">
        <w:t>level</w:t>
      </w:r>
      <w:r w:rsidR="00175C13">
        <w:t>,</w:t>
      </w:r>
      <w:r w:rsidRPr="004E0CA2">
        <w:t xml:space="preserve"> this environment has several shared services which are also known as enabling services since their successful implementation and operation will give a significant impetus to the development and usage of </w:t>
      </w:r>
      <w:r w:rsidR="00342B92">
        <w:t>a broad set of electronic public services</w:t>
      </w:r>
      <w:r w:rsidRPr="004E0CA2">
        <w:t xml:space="preserve">. One of these enabling services is </w:t>
      </w:r>
      <w:r w:rsidR="00020582">
        <w:t>Government e-Payment Gateway (</w:t>
      </w:r>
      <w:proofErr w:type="spellStart"/>
      <w:r w:rsidR="00020582">
        <w:t>GePG</w:t>
      </w:r>
      <w:proofErr w:type="spellEnd"/>
      <w:r w:rsidR="00020582">
        <w:t>)</w:t>
      </w:r>
      <w:r w:rsidRPr="004E0CA2">
        <w:t xml:space="preserve">. </w:t>
      </w:r>
    </w:p>
    <w:p w14:paraId="360720B9" w14:textId="77777777" w:rsidR="00342B92" w:rsidRDefault="00342B92" w:rsidP="0028126B"/>
    <w:p w14:paraId="39B262B4" w14:textId="28D55318" w:rsidR="00020582" w:rsidRDefault="00020582" w:rsidP="00020582">
      <w:r>
        <w:t xml:space="preserve">The </w:t>
      </w:r>
      <w:proofErr w:type="spellStart"/>
      <w:r>
        <w:t>GePG</w:t>
      </w:r>
      <w:proofErr w:type="spellEnd"/>
      <w:r>
        <w:t xml:space="preserve"> is an essential platform component within the e-government architecture. </w:t>
      </w:r>
      <w:r w:rsidR="00342B92">
        <w:t>A</w:t>
      </w:r>
      <w:r>
        <w:t>s a major building block of e-government</w:t>
      </w:r>
      <w:r w:rsidR="00760C4E">
        <w:t xml:space="preserve">, </w:t>
      </w:r>
      <w:r w:rsidR="00342B92">
        <w:t xml:space="preserve">the </w:t>
      </w:r>
      <w:proofErr w:type="spellStart"/>
      <w:r w:rsidR="00342B92">
        <w:t>GePG</w:t>
      </w:r>
      <w:proofErr w:type="spellEnd"/>
      <w:r w:rsidR="00342B92">
        <w:t xml:space="preserve"> will enable</w:t>
      </w:r>
      <w:r>
        <w:t xml:space="preserve"> transactional e-services as well as generally improv</w:t>
      </w:r>
      <w:r w:rsidR="00342B92">
        <w:t>e</w:t>
      </w:r>
      <w:r>
        <w:t xml:space="preserve"> services delivered to </w:t>
      </w:r>
      <w:r w:rsidR="00342B92">
        <w:t>citizens and</w:t>
      </w:r>
      <w:r>
        <w:t xml:space="preserve"> enabling </w:t>
      </w:r>
      <w:r w:rsidR="00342B92">
        <w:t>them</w:t>
      </w:r>
      <w:r>
        <w:t xml:space="preserve"> to pay online for </w:t>
      </w:r>
      <w:r w:rsidR="00760C4E">
        <w:t>public</w:t>
      </w:r>
      <w:r>
        <w:t xml:space="preserve"> services.</w:t>
      </w:r>
    </w:p>
    <w:p w14:paraId="39B262B5" w14:textId="77777777" w:rsidR="00020582" w:rsidRDefault="00020582" w:rsidP="0028126B"/>
    <w:p w14:paraId="39B262B6" w14:textId="1AE182C8" w:rsidR="009B25BF" w:rsidRPr="004E0CA2" w:rsidRDefault="009B25BF" w:rsidP="0028126B">
      <w:r w:rsidRPr="004E0CA2">
        <w:t xml:space="preserve">This paper describes </w:t>
      </w:r>
      <w:r w:rsidR="00175C13">
        <w:t xml:space="preserve">the </w:t>
      </w:r>
      <w:r w:rsidR="006B3A35">
        <w:t>conceptual view of th</w:t>
      </w:r>
      <w:r w:rsidR="00342B92">
        <w:t>is</w:t>
      </w:r>
      <w:r w:rsidR="006B3A35">
        <w:t xml:space="preserve"> service</w:t>
      </w:r>
      <w:r w:rsidRPr="004E0CA2">
        <w:t>.</w:t>
      </w:r>
    </w:p>
    <w:p w14:paraId="39B262B7" w14:textId="77777777" w:rsidR="009B25BF" w:rsidRDefault="009B25BF" w:rsidP="0028126B">
      <w:pPr>
        <w:pStyle w:val="Heading1"/>
      </w:pPr>
      <w:r w:rsidRPr="004E0CA2">
        <w:t>Terms and Definitions</w:t>
      </w:r>
    </w:p>
    <w:p w14:paraId="39B262B8" w14:textId="77777777" w:rsidR="001A3C84" w:rsidRDefault="001A3C84" w:rsidP="0028126B"/>
    <w:tbl>
      <w:tblPr>
        <w:tblW w:w="9015" w:type="dxa"/>
        <w:tblInd w:w="93" w:type="dxa"/>
        <w:tblLayout w:type="fixed"/>
        <w:tblLook w:val="04A0" w:firstRow="1" w:lastRow="0" w:firstColumn="1" w:lastColumn="0" w:noHBand="0" w:noVBand="1"/>
      </w:tblPr>
      <w:tblGrid>
        <w:gridCol w:w="2265"/>
        <w:gridCol w:w="270"/>
        <w:gridCol w:w="6480"/>
      </w:tblGrid>
      <w:tr w:rsidR="009674BA" w:rsidRPr="001A3C84" w14:paraId="39B262BC" w14:textId="77777777" w:rsidTr="009674BA">
        <w:trPr>
          <w:trHeight w:val="315"/>
        </w:trPr>
        <w:tc>
          <w:tcPr>
            <w:tcW w:w="2265" w:type="dxa"/>
            <w:shd w:val="clear" w:color="auto" w:fill="auto"/>
            <w:noWrap/>
            <w:hideMark/>
          </w:tcPr>
          <w:p w14:paraId="39B262B9" w14:textId="77777777" w:rsidR="009674BA" w:rsidRPr="001A3C84" w:rsidRDefault="009674BA" w:rsidP="0028126B">
            <w:r w:rsidRPr="001A3C84">
              <w:t>Authentication</w:t>
            </w:r>
          </w:p>
        </w:tc>
        <w:tc>
          <w:tcPr>
            <w:tcW w:w="270" w:type="dxa"/>
          </w:tcPr>
          <w:p w14:paraId="39B262BA" w14:textId="77777777" w:rsidR="009674BA" w:rsidRPr="001A3C84" w:rsidRDefault="009674BA" w:rsidP="0028126B">
            <w:r>
              <w:t>-</w:t>
            </w:r>
          </w:p>
        </w:tc>
        <w:tc>
          <w:tcPr>
            <w:tcW w:w="6480" w:type="dxa"/>
            <w:shd w:val="clear" w:color="auto" w:fill="auto"/>
            <w:noWrap/>
            <w:hideMark/>
          </w:tcPr>
          <w:p w14:paraId="39B262BB" w14:textId="77777777" w:rsidR="009674BA" w:rsidRPr="001A3C84" w:rsidRDefault="009674BA" w:rsidP="0028126B">
            <w:r w:rsidRPr="001A3C84">
              <w:t>The process of identification of the user in an information system;</w:t>
            </w:r>
          </w:p>
        </w:tc>
      </w:tr>
      <w:tr w:rsidR="001A3C84" w:rsidRPr="001A3C84" w14:paraId="39B262C0" w14:textId="77777777" w:rsidTr="009674BA">
        <w:trPr>
          <w:trHeight w:val="315"/>
        </w:trPr>
        <w:tc>
          <w:tcPr>
            <w:tcW w:w="2265" w:type="dxa"/>
            <w:shd w:val="clear" w:color="auto" w:fill="auto"/>
            <w:noWrap/>
            <w:hideMark/>
          </w:tcPr>
          <w:p w14:paraId="39B262BD" w14:textId="77777777" w:rsidR="001A3C84" w:rsidRPr="001A3C84" w:rsidRDefault="001A3C84" w:rsidP="0028126B">
            <w:r w:rsidRPr="001A3C84">
              <w:t>Authorization</w:t>
            </w:r>
          </w:p>
        </w:tc>
        <w:tc>
          <w:tcPr>
            <w:tcW w:w="270" w:type="dxa"/>
          </w:tcPr>
          <w:p w14:paraId="39B262BE" w14:textId="77777777" w:rsidR="001A3C84" w:rsidRPr="001A3C84" w:rsidRDefault="001A3C84" w:rsidP="0028126B">
            <w:r>
              <w:t>-</w:t>
            </w:r>
          </w:p>
        </w:tc>
        <w:tc>
          <w:tcPr>
            <w:tcW w:w="6480" w:type="dxa"/>
            <w:shd w:val="clear" w:color="auto" w:fill="auto"/>
            <w:noWrap/>
            <w:hideMark/>
          </w:tcPr>
          <w:p w14:paraId="39B262BF" w14:textId="77777777" w:rsidR="001A3C84" w:rsidRPr="001A3C84" w:rsidRDefault="001A3C84" w:rsidP="0028126B">
            <w:r w:rsidRPr="001A3C84">
              <w:t>The process of determining user’s rights in an information system;</w:t>
            </w:r>
          </w:p>
        </w:tc>
      </w:tr>
      <w:tr w:rsidR="00D405DA" w:rsidRPr="001A3C84" w14:paraId="39B262C4" w14:textId="77777777" w:rsidTr="009674BA">
        <w:trPr>
          <w:trHeight w:val="315"/>
        </w:trPr>
        <w:tc>
          <w:tcPr>
            <w:tcW w:w="2265" w:type="dxa"/>
            <w:shd w:val="clear" w:color="auto" w:fill="auto"/>
            <w:noWrap/>
          </w:tcPr>
          <w:p w14:paraId="39B262C1" w14:textId="77777777" w:rsidR="00D405DA" w:rsidRPr="001A3C84" w:rsidRDefault="00D405DA" w:rsidP="0028126B">
            <w:proofErr w:type="spellStart"/>
            <w:r>
              <w:t>ePG</w:t>
            </w:r>
            <w:proofErr w:type="spellEnd"/>
          </w:p>
        </w:tc>
        <w:tc>
          <w:tcPr>
            <w:tcW w:w="270" w:type="dxa"/>
          </w:tcPr>
          <w:p w14:paraId="39B262C2" w14:textId="77777777" w:rsidR="00D405DA" w:rsidRDefault="00D405DA" w:rsidP="0028126B">
            <w:r>
              <w:t>-</w:t>
            </w:r>
          </w:p>
        </w:tc>
        <w:tc>
          <w:tcPr>
            <w:tcW w:w="6480" w:type="dxa"/>
            <w:shd w:val="clear" w:color="auto" w:fill="auto"/>
            <w:noWrap/>
          </w:tcPr>
          <w:p w14:paraId="39B262C3" w14:textId="77777777" w:rsidR="00D405DA" w:rsidRPr="001A3C84" w:rsidRDefault="00D405DA" w:rsidP="0028126B">
            <w:r>
              <w:t>Electronic Payment Gateway;</w:t>
            </w:r>
          </w:p>
        </w:tc>
      </w:tr>
      <w:tr w:rsidR="005B0C02" w:rsidRPr="001A3C84" w14:paraId="3E78E2BC" w14:textId="77777777" w:rsidTr="009674BA">
        <w:trPr>
          <w:trHeight w:val="315"/>
        </w:trPr>
        <w:tc>
          <w:tcPr>
            <w:tcW w:w="2265" w:type="dxa"/>
            <w:shd w:val="clear" w:color="auto" w:fill="auto"/>
            <w:noWrap/>
          </w:tcPr>
          <w:p w14:paraId="2459BF2C" w14:textId="3E9F1576" w:rsidR="005B0C02" w:rsidRDefault="005B0C02" w:rsidP="0028126B">
            <w:proofErr w:type="spellStart"/>
            <w:r>
              <w:t>GePG</w:t>
            </w:r>
            <w:proofErr w:type="spellEnd"/>
          </w:p>
        </w:tc>
        <w:tc>
          <w:tcPr>
            <w:tcW w:w="270" w:type="dxa"/>
          </w:tcPr>
          <w:p w14:paraId="2207CD42" w14:textId="780712DA" w:rsidR="005B0C02" w:rsidRDefault="005B0C02" w:rsidP="0028126B">
            <w:r>
              <w:t>-</w:t>
            </w:r>
          </w:p>
        </w:tc>
        <w:tc>
          <w:tcPr>
            <w:tcW w:w="6480" w:type="dxa"/>
            <w:shd w:val="clear" w:color="auto" w:fill="auto"/>
            <w:noWrap/>
          </w:tcPr>
          <w:p w14:paraId="205A2CE4" w14:textId="426B1DDF" w:rsidR="005B0C02" w:rsidRDefault="005B0C02" w:rsidP="0028126B">
            <w:r>
              <w:t xml:space="preserve">Government </w:t>
            </w:r>
            <w:proofErr w:type="spellStart"/>
            <w:r>
              <w:t>ePG</w:t>
            </w:r>
            <w:proofErr w:type="spellEnd"/>
            <w:r>
              <w:t>;</w:t>
            </w:r>
          </w:p>
        </w:tc>
      </w:tr>
      <w:tr w:rsidR="001A3C84" w:rsidRPr="001A3C84" w14:paraId="39B262C8" w14:textId="77777777" w:rsidTr="009674BA">
        <w:trPr>
          <w:trHeight w:val="315"/>
        </w:trPr>
        <w:tc>
          <w:tcPr>
            <w:tcW w:w="2265" w:type="dxa"/>
            <w:shd w:val="clear" w:color="auto" w:fill="auto"/>
            <w:noWrap/>
            <w:hideMark/>
          </w:tcPr>
          <w:p w14:paraId="39B262C5" w14:textId="77777777" w:rsidR="001A3C84" w:rsidRPr="001A3C84" w:rsidRDefault="001A3C84" w:rsidP="0028126B">
            <w:r w:rsidRPr="001A3C84">
              <w:t>ESB</w:t>
            </w:r>
          </w:p>
        </w:tc>
        <w:tc>
          <w:tcPr>
            <w:tcW w:w="270" w:type="dxa"/>
          </w:tcPr>
          <w:p w14:paraId="39B262C6" w14:textId="77777777" w:rsidR="001A3C84" w:rsidRPr="001A3C84" w:rsidRDefault="001A3C84" w:rsidP="0028126B">
            <w:r>
              <w:t>-</w:t>
            </w:r>
          </w:p>
        </w:tc>
        <w:tc>
          <w:tcPr>
            <w:tcW w:w="6480" w:type="dxa"/>
            <w:shd w:val="clear" w:color="auto" w:fill="auto"/>
            <w:noWrap/>
            <w:hideMark/>
          </w:tcPr>
          <w:p w14:paraId="39B262C7" w14:textId="2265C469" w:rsidR="001A3C84" w:rsidRPr="001A3C84" w:rsidRDefault="001A3C84" w:rsidP="0028126B">
            <w:r w:rsidRPr="001A3C84">
              <w:t>Enterprise Service Bus</w:t>
            </w:r>
            <w:r w:rsidR="005B0C02">
              <w:t>;</w:t>
            </w:r>
          </w:p>
        </w:tc>
      </w:tr>
      <w:tr w:rsidR="001A3C84" w:rsidRPr="001A3C84" w14:paraId="39B262CC" w14:textId="77777777" w:rsidTr="009674BA">
        <w:trPr>
          <w:trHeight w:val="315"/>
        </w:trPr>
        <w:tc>
          <w:tcPr>
            <w:tcW w:w="2265" w:type="dxa"/>
            <w:shd w:val="clear" w:color="auto" w:fill="auto"/>
            <w:noWrap/>
            <w:hideMark/>
          </w:tcPr>
          <w:p w14:paraId="39B262C9" w14:textId="77777777" w:rsidR="001A3C84" w:rsidRPr="001A3C84" w:rsidRDefault="001A3C84" w:rsidP="0028126B">
            <w:r w:rsidRPr="001A3C84">
              <w:t>G4B</w:t>
            </w:r>
          </w:p>
        </w:tc>
        <w:tc>
          <w:tcPr>
            <w:tcW w:w="270" w:type="dxa"/>
          </w:tcPr>
          <w:p w14:paraId="39B262CA" w14:textId="77777777" w:rsidR="001A3C84" w:rsidRPr="001A3C84" w:rsidRDefault="001A3C84" w:rsidP="0028126B">
            <w:r>
              <w:t>-</w:t>
            </w:r>
          </w:p>
        </w:tc>
        <w:tc>
          <w:tcPr>
            <w:tcW w:w="6480" w:type="dxa"/>
            <w:shd w:val="clear" w:color="auto" w:fill="auto"/>
            <w:noWrap/>
            <w:hideMark/>
          </w:tcPr>
          <w:p w14:paraId="39B262CB" w14:textId="6867F263" w:rsidR="001A3C84" w:rsidRPr="001A3C84" w:rsidRDefault="001A3C84" w:rsidP="0028126B">
            <w:r w:rsidRPr="001A3C84">
              <w:t xml:space="preserve">Government for Business </w:t>
            </w:r>
            <w:r w:rsidR="00043BFF">
              <w:t xml:space="preserve">single window </w:t>
            </w:r>
            <w:r w:rsidRPr="001A3C84">
              <w:t>portal;</w:t>
            </w:r>
          </w:p>
        </w:tc>
      </w:tr>
      <w:tr w:rsidR="001A3C84" w:rsidRPr="001A3C84" w14:paraId="39B262D0" w14:textId="77777777" w:rsidTr="009674BA">
        <w:trPr>
          <w:trHeight w:val="315"/>
        </w:trPr>
        <w:tc>
          <w:tcPr>
            <w:tcW w:w="2265" w:type="dxa"/>
            <w:shd w:val="clear" w:color="auto" w:fill="auto"/>
            <w:noWrap/>
            <w:hideMark/>
          </w:tcPr>
          <w:p w14:paraId="39B262CD" w14:textId="77777777" w:rsidR="001A3C84" w:rsidRPr="001A3C84" w:rsidRDefault="001A3C84" w:rsidP="0028126B">
            <w:r w:rsidRPr="001A3C84">
              <w:t>G4C</w:t>
            </w:r>
          </w:p>
        </w:tc>
        <w:tc>
          <w:tcPr>
            <w:tcW w:w="270" w:type="dxa"/>
          </w:tcPr>
          <w:p w14:paraId="39B262CE" w14:textId="77777777" w:rsidR="001A3C84" w:rsidRPr="001A3C84" w:rsidRDefault="001A3C84" w:rsidP="0028126B">
            <w:r>
              <w:t>-</w:t>
            </w:r>
          </w:p>
        </w:tc>
        <w:tc>
          <w:tcPr>
            <w:tcW w:w="6480" w:type="dxa"/>
            <w:shd w:val="clear" w:color="auto" w:fill="auto"/>
            <w:noWrap/>
            <w:hideMark/>
          </w:tcPr>
          <w:p w14:paraId="39B262CF" w14:textId="59AB7545" w:rsidR="001A3C84" w:rsidRPr="001A3C84" w:rsidRDefault="001A3C84" w:rsidP="0028126B">
            <w:r w:rsidRPr="001A3C84">
              <w:t xml:space="preserve">Government for Citizen </w:t>
            </w:r>
            <w:r w:rsidR="00043BFF">
              <w:t xml:space="preserve">single window </w:t>
            </w:r>
            <w:r w:rsidRPr="001A3C84">
              <w:t>portal;</w:t>
            </w:r>
          </w:p>
        </w:tc>
      </w:tr>
      <w:tr w:rsidR="001A3C84" w:rsidRPr="001A3C84" w14:paraId="39B262D4" w14:textId="77777777" w:rsidTr="009674BA">
        <w:trPr>
          <w:trHeight w:val="315"/>
        </w:trPr>
        <w:tc>
          <w:tcPr>
            <w:tcW w:w="2265" w:type="dxa"/>
            <w:shd w:val="clear" w:color="auto" w:fill="auto"/>
            <w:noWrap/>
            <w:hideMark/>
          </w:tcPr>
          <w:p w14:paraId="39B262D1" w14:textId="77777777" w:rsidR="001A3C84" w:rsidRPr="001A3C84" w:rsidRDefault="001A3C84" w:rsidP="0028126B">
            <w:r w:rsidRPr="001A3C84">
              <w:t>M-Cloud</w:t>
            </w:r>
          </w:p>
        </w:tc>
        <w:tc>
          <w:tcPr>
            <w:tcW w:w="270" w:type="dxa"/>
          </w:tcPr>
          <w:p w14:paraId="39B262D2" w14:textId="77777777" w:rsidR="001A3C84" w:rsidRPr="001A3C84" w:rsidRDefault="001A3C84" w:rsidP="0028126B">
            <w:r>
              <w:t>-</w:t>
            </w:r>
          </w:p>
        </w:tc>
        <w:tc>
          <w:tcPr>
            <w:tcW w:w="6480" w:type="dxa"/>
            <w:shd w:val="clear" w:color="auto" w:fill="auto"/>
            <w:noWrap/>
            <w:hideMark/>
          </w:tcPr>
          <w:p w14:paraId="39B262D3" w14:textId="26FDF868" w:rsidR="000845BF" w:rsidRPr="001A3C84" w:rsidRDefault="001A3C84" w:rsidP="0028126B">
            <w:r w:rsidRPr="001A3C84">
              <w:t>Moldova’s electronic services delivery platform based on cloud computing;</w:t>
            </w:r>
          </w:p>
        </w:tc>
      </w:tr>
      <w:tr w:rsidR="00D405DA" w:rsidRPr="001A3C84" w14:paraId="39B262DC" w14:textId="77777777" w:rsidTr="009674BA">
        <w:trPr>
          <w:trHeight w:val="315"/>
        </w:trPr>
        <w:tc>
          <w:tcPr>
            <w:tcW w:w="2265" w:type="dxa"/>
            <w:shd w:val="clear" w:color="auto" w:fill="auto"/>
            <w:noWrap/>
          </w:tcPr>
          <w:p w14:paraId="39B262D9" w14:textId="782F6D05" w:rsidR="00D405DA" w:rsidRPr="001A3C84" w:rsidRDefault="000845BF" w:rsidP="0028126B">
            <w:r>
              <w:t>PSP</w:t>
            </w:r>
          </w:p>
        </w:tc>
        <w:tc>
          <w:tcPr>
            <w:tcW w:w="270" w:type="dxa"/>
          </w:tcPr>
          <w:p w14:paraId="39B262DA" w14:textId="4E763E58" w:rsidR="00D405DA" w:rsidRDefault="000845BF" w:rsidP="0028126B">
            <w:r>
              <w:t>-</w:t>
            </w:r>
          </w:p>
        </w:tc>
        <w:tc>
          <w:tcPr>
            <w:tcW w:w="6480" w:type="dxa"/>
            <w:shd w:val="clear" w:color="auto" w:fill="auto"/>
            <w:noWrap/>
          </w:tcPr>
          <w:p w14:paraId="39B262DB" w14:textId="2F9A71BE" w:rsidR="00D405DA" w:rsidRPr="001A3C84" w:rsidRDefault="000845BF" w:rsidP="0028126B">
            <w:r>
              <w:t>Payment Service Provider;</w:t>
            </w:r>
          </w:p>
        </w:tc>
      </w:tr>
      <w:tr w:rsidR="000845BF" w:rsidRPr="001A3C84" w14:paraId="6B3FB121" w14:textId="77777777" w:rsidTr="009674BA">
        <w:trPr>
          <w:trHeight w:val="315"/>
        </w:trPr>
        <w:tc>
          <w:tcPr>
            <w:tcW w:w="2265" w:type="dxa"/>
            <w:shd w:val="clear" w:color="auto" w:fill="auto"/>
            <w:noWrap/>
          </w:tcPr>
          <w:p w14:paraId="1FD2ECD6" w14:textId="057B2352" w:rsidR="000845BF" w:rsidRDefault="000845BF" w:rsidP="0028126B">
            <w:r>
              <w:t>Platform service</w:t>
            </w:r>
          </w:p>
        </w:tc>
        <w:tc>
          <w:tcPr>
            <w:tcW w:w="270" w:type="dxa"/>
          </w:tcPr>
          <w:p w14:paraId="79D49392" w14:textId="6006BCA8" w:rsidR="000845BF" w:rsidRDefault="000845BF" w:rsidP="0028126B">
            <w:r>
              <w:t>-</w:t>
            </w:r>
          </w:p>
        </w:tc>
        <w:tc>
          <w:tcPr>
            <w:tcW w:w="6480" w:type="dxa"/>
            <w:shd w:val="clear" w:color="auto" w:fill="auto"/>
            <w:noWrap/>
          </w:tcPr>
          <w:p w14:paraId="6B2E5354" w14:textId="530A4F74" w:rsidR="000845BF" w:rsidRDefault="000845BF" w:rsidP="0028126B">
            <w:r>
              <w:t>A functionality that is consumed by sectorial or shared e-services such as payment and authentication;</w:t>
            </w:r>
          </w:p>
        </w:tc>
      </w:tr>
      <w:tr w:rsidR="000845BF" w:rsidRPr="001A3C84" w14:paraId="7A764F5F" w14:textId="77777777" w:rsidTr="009674BA">
        <w:trPr>
          <w:trHeight w:val="315"/>
        </w:trPr>
        <w:tc>
          <w:tcPr>
            <w:tcW w:w="2265" w:type="dxa"/>
            <w:shd w:val="clear" w:color="auto" w:fill="auto"/>
            <w:noWrap/>
          </w:tcPr>
          <w:p w14:paraId="0EE63F51" w14:textId="27CFF0B1" w:rsidR="000845BF" w:rsidRDefault="000845BF" w:rsidP="0028126B">
            <w:r>
              <w:t>Sectorial e-service</w:t>
            </w:r>
          </w:p>
        </w:tc>
        <w:tc>
          <w:tcPr>
            <w:tcW w:w="270" w:type="dxa"/>
          </w:tcPr>
          <w:p w14:paraId="3217C418" w14:textId="6F516F78" w:rsidR="000845BF" w:rsidRDefault="000845BF" w:rsidP="0028126B">
            <w:r>
              <w:t>-</w:t>
            </w:r>
          </w:p>
        </w:tc>
        <w:tc>
          <w:tcPr>
            <w:tcW w:w="6480" w:type="dxa"/>
            <w:shd w:val="clear" w:color="auto" w:fill="auto"/>
            <w:noWrap/>
          </w:tcPr>
          <w:p w14:paraId="54CA9300" w14:textId="5C077EFC" w:rsidR="000845BF" w:rsidRDefault="000845BF" w:rsidP="0028126B">
            <w:r>
              <w:t>A public service that is specific to a sector, ministry or agency, and different from all other institutions. Tax. Education. Health e-services;</w:t>
            </w:r>
          </w:p>
        </w:tc>
      </w:tr>
      <w:tr w:rsidR="000845BF" w:rsidRPr="001A3C84" w14:paraId="3A592F2D" w14:textId="77777777" w:rsidTr="009674BA">
        <w:trPr>
          <w:trHeight w:val="315"/>
        </w:trPr>
        <w:tc>
          <w:tcPr>
            <w:tcW w:w="2265" w:type="dxa"/>
            <w:shd w:val="clear" w:color="auto" w:fill="auto"/>
            <w:noWrap/>
          </w:tcPr>
          <w:p w14:paraId="326AEB86" w14:textId="1ECB4BF8" w:rsidR="000845BF" w:rsidRDefault="000845BF" w:rsidP="0028126B">
            <w:r>
              <w:t>Shared government e-service</w:t>
            </w:r>
          </w:p>
        </w:tc>
        <w:tc>
          <w:tcPr>
            <w:tcW w:w="270" w:type="dxa"/>
          </w:tcPr>
          <w:p w14:paraId="4ADA30D2" w14:textId="48601C68" w:rsidR="000845BF" w:rsidRDefault="000845BF" w:rsidP="0028126B">
            <w:r>
              <w:t>-</w:t>
            </w:r>
          </w:p>
        </w:tc>
        <w:tc>
          <w:tcPr>
            <w:tcW w:w="6480" w:type="dxa"/>
            <w:shd w:val="clear" w:color="auto" w:fill="auto"/>
            <w:noWrap/>
          </w:tcPr>
          <w:p w14:paraId="2F8FCA85" w14:textId="2A2E95ED" w:rsidR="000845BF" w:rsidRDefault="000845BF" w:rsidP="0028126B">
            <w:r>
              <w:t>A function that is common to all government institutions such as accounting, financial management, communication, collaboration tools</w:t>
            </w:r>
          </w:p>
        </w:tc>
      </w:tr>
    </w:tbl>
    <w:p w14:paraId="39B262DE" w14:textId="77777777" w:rsidR="00D5463F" w:rsidRDefault="00020582" w:rsidP="0028126B">
      <w:pPr>
        <w:pStyle w:val="Heading1"/>
      </w:pPr>
      <w:r>
        <w:lastRenderedPageBreak/>
        <w:t>E</w:t>
      </w:r>
      <w:r w:rsidR="00D405DA">
        <w:t xml:space="preserve">lectronic </w:t>
      </w:r>
      <w:r>
        <w:t>P</w:t>
      </w:r>
      <w:r w:rsidR="00D405DA">
        <w:t>ayment</w:t>
      </w:r>
      <w:r>
        <w:t>s Today</w:t>
      </w:r>
    </w:p>
    <w:p w14:paraId="652436DD" w14:textId="31C72F5D" w:rsidR="00342B92" w:rsidRDefault="00B27CC1" w:rsidP="00560B3D">
      <w:r>
        <w:t xml:space="preserve">Today </w:t>
      </w:r>
      <w:r w:rsidR="00342B92">
        <w:t xml:space="preserve">in Moldova </w:t>
      </w:r>
      <w:r>
        <w:t xml:space="preserve">there </w:t>
      </w:r>
      <w:r w:rsidR="00342B92">
        <w:t>only a</w:t>
      </w:r>
      <w:r>
        <w:t xml:space="preserve"> dozen </w:t>
      </w:r>
      <w:r w:rsidR="00342B92">
        <w:t>public services</w:t>
      </w:r>
      <w:r>
        <w:t xml:space="preserve"> </w:t>
      </w:r>
      <w:r w:rsidR="00983EEE">
        <w:t xml:space="preserve">are </w:t>
      </w:r>
      <w:r>
        <w:t xml:space="preserve">available to the citizen </w:t>
      </w:r>
      <w:r w:rsidR="00342B92">
        <w:t xml:space="preserve">electronically, </w:t>
      </w:r>
      <w:r>
        <w:t xml:space="preserve">out of over a hundred total services offered by </w:t>
      </w:r>
      <w:r w:rsidR="00342B92">
        <w:t xml:space="preserve">the </w:t>
      </w:r>
      <w:r>
        <w:t>public sector. Most of the</w:t>
      </w:r>
      <w:r w:rsidR="00342B92">
        <w:t xml:space="preserve"> public</w:t>
      </w:r>
      <w:r>
        <w:t xml:space="preserve"> services charge the citizens in accordance to regulated price lists. Although electronic services </w:t>
      </w:r>
      <w:r w:rsidR="00342B92">
        <w:t xml:space="preserve">are </w:t>
      </w:r>
      <w:r>
        <w:t xml:space="preserve">proven to be much more convenient for citizens and efficient for authorities, still they suffer from a serious deficiency – the payment for the service </w:t>
      </w:r>
      <w:r w:rsidR="00342B92">
        <w:t xml:space="preserve">is currently </w:t>
      </w:r>
      <w:r>
        <w:t>done physically at the counter of a bank. Thus</w:t>
      </w:r>
      <w:r w:rsidR="00342B92">
        <w:t xml:space="preserve">, the </w:t>
      </w:r>
      <w:r w:rsidR="003E4BDD">
        <w:t xml:space="preserve">current </w:t>
      </w:r>
      <w:r w:rsidR="00342B92">
        <w:t xml:space="preserve">delivery of </w:t>
      </w:r>
      <w:r>
        <w:t xml:space="preserve">a typical payable electronic service is </w:t>
      </w:r>
      <w:r w:rsidR="003E4BDD">
        <w:t xml:space="preserve">currently </w:t>
      </w:r>
      <w:r>
        <w:t xml:space="preserve">split into three phases: </w:t>
      </w:r>
    </w:p>
    <w:p w14:paraId="3E8D6807" w14:textId="127FDF16" w:rsidR="00342B92" w:rsidRDefault="00B27CC1" w:rsidP="00983EEE">
      <w:pPr>
        <w:pStyle w:val="ListParagraph"/>
        <w:numPr>
          <w:ilvl w:val="0"/>
          <w:numId w:val="18"/>
        </w:numPr>
      </w:pPr>
      <w:r>
        <w:t>service initiation and data collection</w:t>
      </w:r>
      <w:r w:rsidR="00983EEE">
        <w:t>;</w:t>
      </w:r>
    </w:p>
    <w:p w14:paraId="7A0DC744" w14:textId="678F968A" w:rsidR="00342B92" w:rsidRDefault="00983EEE" w:rsidP="00983EEE">
      <w:pPr>
        <w:pStyle w:val="ListParagraph"/>
        <w:numPr>
          <w:ilvl w:val="0"/>
          <w:numId w:val="18"/>
        </w:numPr>
      </w:pPr>
      <w:r>
        <w:t>payment for the service;</w:t>
      </w:r>
    </w:p>
    <w:p w14:paraId="5CD74C45" w14:textId="0A8F2D3D" w:rsidR="00342B92" w:rsidRDefault="00DB1F24" w:rsidP="00983EEE">
      <w:pPr>
        <w:pStyle w:val="ListParagraph"/>
        <w:numPr>
          <w:ilvl w:val="0"/>
          <w:numId w:val="18"/>
        </w:numPr>
      </w:pPr>
      <w:proofErr w:type="gramStart"/>
      <w:r>
        <w:t>payment</w:t>
      </w:r>
      <w:proofErr w:type="gramEnd"/>
      <w:r>
        <w:t xml:space="preserve"> confirmation and service provision. </w:t>
      </w:r>
    </w:p>
    <w:p w14:paraId="39B262DF" w14:textId="4CCE8E8D" w:rsidR="00D41751" w:rsidRDefault="00DB1F24" w:rsidP="00342B92">
      <w:r>
        <w:t xml:space="preserve">The first phase is done online and consists </w:t>
      </w:r>
      <w:r w:rsidR="00342B92">
        <w:t xml:space="preserve">of </w:t>
      </w:r>
      <w:r>
        <w:t xml:space="preserve">a set of preparatory activities, which gives the service provider </w:t>
      </w:r>
      <w:r w:rsidR="00342B92">
        <w:t xml:space="preserve">comprehensive </w:t>
      </w:r>
      <w:r w:rsidR="003E4BDD">
        <w:t xml:space="preserve">information about </w:t>
      </w:r>
      <w:r>
        <w:t>the user’s request. When the data is collected</w:t>
      </w:r>
      <w:r w:rsidR="00342B92">
        <w:t>,</w:t>
      </w:r>
      <w:r>
        <w:t xml:space="preserve"> the user is provided with payment information, i.e. the amount of money the user </w:t>
      </w:r>
      <w:r w:rsidR="00342B92">
        <w:t xml:space="preserve">has to </w:t>
      </w:r>
      <w:r>
        <w:t>pay for the service plus all afferent costs, such as eventual transfer fees, shipping fees</w:t>
      </w:r>
      <w:r w:rsidR="003E4BDD">
        <w:t>, emergency fees,</w:t>
      </w:r>
      <w:r>
        <w:t xml:space="preserve"> etc. Some services offer the </w:t>
      </w:r>
      <w:r w:rsidR="003E4BDD">
        <w:t xml:space="preserve">user the possibility </w:t>
      </w:r>
      <w:r>
        <w:t xml:space="preserve">to print the order so the user </w:t>
      </w:r>
      <w:r w:rsidR="00342B92">
        <w:t xml:space="preserve">can </w:t>
      </w:r>
      <w:r w:rsidR="003E4BDD">
        <w:t xml:space="preserve">take </w:t>
      </w:r>
      <w:r>
        <w:t xml:space="preserve">it to a bank. The payment </w:t>
      </w:r>
      <w:r w:rsidR="00342B92">
        <w:t>step, outlined in phase</w:t>
      </w:r>
      <w:r>
        <w:t xml:space="preserve"> 2 is </w:t>
      </w:r>
      <w:r w:rsidR="00342B92">
        <w:t xml:space="preserve">currently </w:t>
      </w:r>
      <w:r>
        <w:t xml:space="preserve">done offline, i.e. the user physically goes to a bank counter to pay for the service. Usually service providers instruct their users that the payment shall be made in a specified number of working days, otherwise the service will not be provisioned. After paying for </w:t>
      </w:r>
      <w:r w:rsidR="003E4BDD">
        <w:t xml:space="preserve">the </w:t>
      </w:r>
      <w:r>
        <w:t>service a</w:t>
      </w:r>
      <w:r w:rsidR="00D41751">
        <w:t>t the bank</w:t>
      </w:r>
      <w:r w:rsidR="003E4BDD">
        <w:t>,</w:t>
      </w:r>
      <w:r w:rsidR="00D41751">
        <w:t xml:space="preserve"> the user has to wait for the order to be processed </w:t>
      </w:r>
      <w:r w:rsidR="003E4BDD">
        <w:t xml:space="preserve">on </w:t>
      </w:r>
      <w:r w:rsidR="00D41751">
        <w:t>the service provider</w:t>
      </w:r>
      <w:r w:rsidR="003E4BDD">
        <w:t>’s</w:t>
      </w:r>
      <w:r w:rsidR="00D41751">
        <w:t xml:space="preserve"> side. </w:t>
      </w:r>
      <w:r w:rsidR="003E4BDD">
        <w:t xml:space="preserve">Today, only a few </w:t>
      </w:r>
      <w:r w:rsidR="00D41751">
        <w:t>electronic services have the ability to track the execution of the service. In the majority of cases</w:t>
      </w:r>
      <w:r w:rsidR="003E4BDD">
        <w:t>,</w:t>
      </w:r>
      <w:r w:rsidR="00D41751">
        <w:t xml:space="preserve"> the user takes the receipt from the bank and goes to the service provider</w:t>
      </w:r>
      <w:r w:rsidR="003E4BDD">
        <w:t>’s</w:t>
      </w:r>
      <w:r w:rsidR="00D41751">
        <w:t xml:space="preserve"> office to get finally served. It is clear that this service model is </w:t>
      </w:r>
      <w:r w:rsidR="000F51F4">
        <w:t xml:space="preserve">quite </w:t>
      </w:r>
      <w:r w:rsidR="00D41751">
        <w:t>inconvenient for citizens, since they have to make at least two visits: one to the bank and another to the service provider.</w:t>
      </w:r>
      <w:r w:rsidR="000F51F4">
        <w:t xml:space="preserve"> </w:t>
      </w:r>
      <w:r w:rsidR="003E4BDD">
        <w:t xml:space="preserve"> Many are of the opinion </w:t>
      </w:r>
      <w:r w:rsidR="000F51F4">
        <w:t xml:space="preserve">that </w:t>
      </w:r>
      <w:r w:rsidR="003E4BDD">
        <w:t xml:space="preserve">such a lengthy and inconvenient process as outlined above in three phases </w:t>
      </w:r>
      <w:r w:rsidR="000F51F4">
        <w:t xml:space="preserve">is one of the </w:t>
      </w:r>
      <w:r w:rsidR="003E4BDD">
        <w:t xml:space="preserve">main </w:t>
      </w:r>
      <w:r w:rsidR="000F51F4">
        <w:t>reasons why the number and uptake of electronic services is so low.</w:t>
      </w:r>
    </w:p>
    <w:p w14:paraId="41B4772B" w14:textId="77777777" w:rsidR="003E4BDD" w:rsidRDefault="003E4BDD" w:rsidP="00560B3D"/>
    <w:p w14:paraId="39B262E0" w14:textId="41D2174B" w:rsidR="000F51F4" w:rsidRDefault="003E4BDD" w:rsidP="00560B3D">
      <w:r>
        <w:t>A</w:t>
      </w:r>
      <w:r w:rsidR="000F51F4">
        <w:t xml:space="preserve"> quick solution for </w:t>
      </w:r>
      <w:r>
        <w:t>the</w:t>
      </w:r>
      <w:r w:rsidR="000F51F4">
        <w:t xml:space="preserve"> service provider could be integration of its service with a payment service provider, considering the fact that recently several financial institutions announced that</w:t>
      </w:r>
      <w:r>
        <w:t xml:space="preserve"> they</w:t>
      </w:r>
      <w:r w:rsidR="000F51F4">
        <w:t xml:space="preserve"> could offer </w:t>
      </w:r>
      <w:r>
        <w:t xml:space="preserve">electronic </w:t>
      </w:r>
      <w:r w:rsidR="000F51F4">
        <w:t>payment services.</w:t>
      </w:r>
    </w:p>
    <w:p w14:paraId="39B262E1" w14:textId="33D47349" w:rsidR="000F51F4" w:rsidRDefault="000F51F4" w:rsidP="00560B3D">
      <w:r>
        <w:t xml:space="preserve">Although this may be convenient in a particular case, in general at the national level this solution is not efficient. There are several problems related to </w:t>
      </w:r>
      <w:r w:rsidR="000925C1">
        <w:t>this approach</w:t>
      </w:r>
      <w:r>
        <w:t>:</w:t>
      </w:r>
    </w:p>
    <w:p w14:paraId="39B262E2" w14:textId="15471F01" w:rsidR="000F51F4" w:rsidRDefault="000F51F4" w:rsidP="00475109">
      <w:pPr>
        <w:pStyle w:val="ListParagraph"/>
        <w:numPr>
          <w:ilvl w:val="0"/>
          <w:numId w:val="11"/>
        </w:numPr>
      </w:pPr>
      <w:r>
        <w:t xml:space="preserve">For each </w:t>
      </w:r>
      <w:r w:rsidR="00475109">
        <w:t xml:space="preserve">new service, the </w:t>
      </w:r>
      <w:r w:rsidR="000925C1">
        <w:t xml:space="preserve">public service </w:t>
      </w:r>
      <w:r w:rsidR="00475109">
        <w:t>providers will have to implement integration with payment service;</w:t>
      </w:r>
    </w:p>
    <w:p w14:paraId="39B262E3" w14:textId="647D3663" w:rsidR="00475109" w:rsidRDefault="00475109" w:rsidP="00475109">
      <w:pPr>
        <w:pStyle w:val="ListParagraph"/>
        <w:numPr>
          <w:ilvl w:val="0"/>
          <w:numId w:val="11"/>
        </w:numPr>
      </w:pPr>
      <w:r>
        <w:t xml:space="preserve">The complexity </w:t>
      </w:r>
      <w:r w:rsidR="000925C1">
        <w:t xml:space="preserve">of integration </w:t>
      </w:r>
      <w:r>
        <w:t>increases when the service will need to support several payment methods</w:t>
      </w:r>
      <w:r w:rsidR="00F27C63">
        <w:t>, using different protocols, standards, technologies etc.</w:t>
      </w:r>
      <w:r>
        <w:t>;</w:t>
      </w:r>
    </w:p>
    <w:p w14:paraId="39B262E4" w14:textId="50ACFC66" w:rsidR="00F27C63" w:rsidRDefault="00F27C63" w:rsidP="00475109">
      <w:pPr>
        <w:pStyle w:val="ListParagraph"/>
        <w:numPr>
          <w:ilvl w:val="0"/>
          <w:numId w:val="11"/>
        </w:numPr>
      </w:pPr>
      <w:r>
        <w:t xml:space="preserve">The costs </w:t>
      </w:r>
      <w:r w:rsidR="000925C1">
        <w:t xml:space="preserve">of </w:t>
      </w:r>
      <w:r>
        <w:t xml:space="preserve">non-functional and security requirements will </w:t>
      </w:r>
      <w:r w:rsidR="000925C1">
        <w:t xml:space="preserve">multiply </w:t>
      </w:r>
      <w:r>
        <w:t>with every new integration;</w:t>
      </w:r>
    </w:p>
    <w:p w14:paraId="39B262E5" w14:textId="175BA95A" w:rsidR="00475109" w:rsidRDefault="00475109" w:rsidP="00475109">
      <w:pPr>
        <w:pStyle w:val="ListParagraph"/>
        <w:numPr>
          <w:ilvl w:val="0"/>
          <w:numId w:val="11"/>
        </w:numPr>
      </w:pPr>
      <w:r>
        <w:t xml:space="preserve">Developers will have to understand and use APIs of </w:t>
      </w:r>
      <w:r w:rsidR="000925C1">
        <w:t xml:space="preserve">a multitude of </w:t>
      </w:r>
      <w:r>
        <w:t>payment providers, thus making the costs for development considerably higher.</w:t>
      </w:r>
    </w:p>
    <w:p w14:paraId="39B262E6" w14:textId="327CA26F" w:rsidR="00475109" w:rsidRDefault="00475109" w:rsidP="00475109">
      <w:r>
        <w:t>In other words, in order to support a</w:t>
      </w:r>
      <w:r w:rsidR="000925C1">
        <w:t xml:space="preserve"> mix of available payment</w:t>
      </w:r>
      <w:r>
        <w:t xml:space="preserve"> methods, each service provider will have to integrate with every payment provider. The complexity of these relationships is </w:t>
      </w:r>
      <w:proofErr w:type="spellStart"/>
      <w:r w:rsidRPr="00475109">
        <w:rPr>
          <w:i/>
        </w:rPr>
        <w:t>n</w:t>
      </w:r>
      <w:r>
        <w:t>×</w:t>
      </w:r>
      <w:r w:rsidRPr="00475109">
        <w:rPr>
          <w:i/>
        </w:rPr>
        <w:t>m</w:t>
      </w:r>
      <w:proofErr w:type="spellEnd"/>
      <w:r>
        <w:t>.</w:t>
      </w:r>
      <w:r w:rsidR="000925C1">
        <w:t xml:space="preserve"> The importance for a public service provider to offer integration to all payment options in a market is crucial, and only with this approach, the Government institutions are in a </w:t>
      </w:r>
      <w:r w:rsidR="000925C1">
        <w:lastRenderedPageBreak/>
        <w:t>position that does not to discriminate or restrict citizen usage depending on what Bank or what payment method he or she subscribed to.</w:t>
      </w:r>
    </w:p>
    <w:p w14:paraId="39B262E7" w14:textId="626417B2" w:rsidR="00475109" w:rsidRDefault="00475109" w:rsidP="00560B3D">
      <w:r>
        <w:t xml:space="preserve">These problems could be efficiently solved by using </w:t>
      </w:r>
      <w:r w:rsidR="00F27C63">
        <w:t xml:space="preserve">a common </w:t>
      </w:r>
      <w:r w:rsidR="006E0F07">
        <w:t xml:space="preserve">platform level </w:t>
      </w:r>
      <w:r w:rsidR="00F27C63">
        <w:t>electronic payment gateway.</w:t>
      </w:r>
      <w:r w:rsidR="00900D5E">
        <w:t xml:space="preserve"> The e-Government platform architecture contains such a gateway </w:t>
      </w:r>
      <w:r w:rsidR="00E971FC">
        <w:t xml:space="preserve">– the </w:t>
      </w:r>
      <w:proofErr w:type="spellStart"/>
      <w:r w:rsidR="00E971FC">
        <w:t>GePG</w:t>
      </w:r>
      <w:proofErr w:type="spellEnd"/>
      <w:r w:rsidR="00E971FC">
        <w:t xml:space="preserve">, which is </w:t>
      </w:r>
      <w:r w:rsidR="00900D5E">
        <w:t xml:space="preserve">the platform level </w:t>
      </w:r>
      <w:r w:rsidR="00616051">
        <w:t>e-</w:t>
      </w:r>
      <w:r w:rsidR="00900D5E">
        <w:t>Payment service.</w:t>
      </w:r>
    </w:p>
    <w:p w14:paraId="39B262E8" w14:textId="77777777" w:rsidR="009B25BF" w:rsidRPr="004E0CA2" w:rsidRDefault="009B25BF" w:rsidP="0028126B">
      <w:pPr>
        <w:pStyle w:val="Heading1"/>
      </w:pPr>
      <w:r w:rsidRPr="004E0CA2">
        <w:t>Platform architecture</w:t>
      </w:r>
    </w:p>
    <w:p w14:paraId="39B262E9" w14:textId="32503B7E" w:rsidR="009B25BF" w:rsidRPr="004E0CA2" w:rsidRDefault="009B25BF" w:rsidP="0028126B">
      <w:r w:rsidRPr="004E0CA2">
        <w:t>As part of the e-Government technology platform</w:t>
      </w:r>
      <w:r w:rsidR="00175C13">
        <w:t>,</w:t>
      </w:r>
      <w:r w:rsidRPr="004E0CA2">
        <w:t xml:space="preserve"> Moldova is build</w:t>
      </w:r>
      <w:r w:rsidR="00A9751A">
        <w:t>ing</w:t>
      </w:r>
      <w:r w:rsidRPr="004E0CA2">
        <w:t xml:space="preserve"> a new shared infrastructure which will allow ministries and agencies to host information systems within it. Th</w:t>
      </w:r>
      <w:r w:rsidR="00175C13">
        <w:t>is</w:t>
      </w:r>
      <w:r w:rsidRPr="004E0CA2">
        <w:t xml:space="preserve"> infrastructure will be buil</w:t>
      </w:r>
      <w:r w:rsidR="00175C13">
        <w:t>t</w:t>
      </w:r>
      <w:r w:rsidRPr="004E0CA2">
        <w:t xml:space="preserve"> using cloud computing – a </w:t>
      </w:r>
      <w:r w:rsidR="00900D5E">
        <w:t xml:space="preserve">mature </w:t>
      </w:r>
      <w:r w:rsidR="00A50667">
        <w:t xml:space="preserve">and </w:t>
      </w:r>
      <w:r w:rsidR="00900D5E">
        <w:t xml:space="preserve">still </w:t>
      </w:r>
      <w:r w:rsidRPr="004E0CA2">
        <w:t xml:space="preserve">promising technology which changes the </w:t>
      </w:r>
      <w:r w:rsidR="00175C13">
        <w:t>delivery of</w:t>
      </w:r>
      <w:r w:rsidR="00175C13" w:rsidRPr="004E0CA2">
        <w:t xml:space="preserve"> </w:t>
      </w:r>
      <w:r w:rsidRPr="004E0CA2">
        <w:t xml:space="preserve">IT services </w:t>
      </w:r>
      <w:r w:rsidR="00175C13">
        <w:t xml:space="preserve">into </w:t>
      </w:r>
      <w:r w:rsidR="00A50667">
        <w:t>an</w:t>
      </w:r>
      <w:r w:rsidR="00A50667" w:rsidRPr="004E0CA2">
        <w:t xml:space="preserve"> </w:t>
      </w:r>
      <w:r w:rsidRPr="004E0CA2">
        <w:t xml:space="preserve">efficient </w:t>
      </w:r>
      <w:r w:rsidR="00A50667">
        <w:t xml:space="preserve">model of </w:t>
      </w:r>
      <w:r w:rsidRPr="004E0CA2">
        <w:t xml:space="preserve">self-service </w:t>
      </w:r>
      <w:r w:rsidR="00A50667">
        <w:t xml:space="preserve">and pay per use </w:t>
      </w:r>
      <w:r w:rsidRPr="004E0CA2">
        <w:t>provision</w:t>
      </w:r>
      <w:r w:rsidR="00A50667">
        <w:t>ing</w:t>
      </w:r>
      <w:r w:rsidRPr="004E0CA2">
        <w:t xml:space="preserve"> of IT resources.</w:t>
      </w:r>
      <w:r w:rsidR="00B54F0A">
        <w:t xml:space="preserve"> For convenience purposes, this </w:t>
      </w:r>
      <w:r w:rsidR="00B54F0A" w:rsidRPr="0028126B">
        <w:t>cloud</w:t>
      </w:r>
      <w:r w:rsidR="00B54F0A">
        <w:t xml:space="preserve"> computing technology will be called M-Cloud.</w:t>
      </w:r>
    </w:p>
    <w:p w14:paraId="39B262EA" w14:textId="77777777" w:rsidR="004E0CA2" w:rsidRDefault="004E0CA2" w:rsidP="0028126B"/>
    <w:p w14:paraId="39B262EB" w14:textId="77777777" w:rsidR="009B25BF" w:rsidRPr="004E0CA2" w:rsidRDefault="009B25BF" w:rsidP="0028126B">
      <w:r w:rsidRPr="004E0CA2">
        <w:t>Th</w:t>
      </w:r>
      <w:r w:rsidR="00175C13">
        <w:t>is</w:t>
      </w:r>
      <w:r w:rsidRPr="004E0CA2">
        <w:t xml:space="preserve"> platform </w:t>
      </w:r>
      <w:r w:rsidR="00175C13">
        <w:t xml:space="preserve">is </w:t>
      </w:r>
      <w:r w:rsidRPr="004E0CA2">
        <w:t>in essence a private cloud offering three main service delivery models – Infrastructure as a Service (</w:t>
      </w:r>
      <w:proofErr w:type="spellStart"/>
      <w:r w:rsidRPr="004E0CA2">
        <w:t>IaaS</w:t>
      </w:r>
      <w:proofErr w:type="spellEnd"/>
      <w:r w:rsidRPr="004E0CA2">
        <w:t>), Platform as a Service (</w:t>
      </w:r>
      <w:proofErr w:type="spellStart"/>
      <w:r w:rsidRPr="004E0CA2">
        <w:t>PaaS</w:t>
      </w:r>
      <w:proofErr w:type="spellEnd"/>
      <w:r w:rsidRPr="004E0CA2">
        <w:t>) and Software as a Service (</w:t>
      </w:r>
      <w:proofErr w:type="spellStart"/>
      <w:r w:rsidRPr="004E0CA2">
        <w:t>SaaS</w:t>
      </w:r>
      <w:proofErr w:type="spellEnd"/>
      <w:r w:rsidRPr="004E0CA2">
        <w:t>).</w:t>
      </w:r>
    </w:p>
    <w:p w14:paraId="39B262EC" w14:textId="77777777" w:rsidR="00560B3D" w:rsidRDefault="009B25BF" w:rsidP="00560B3D">
      <w:pPr>
        <w:keepNext/>
        <w:jc w:val="center"/>
      </w:pPr>
      <w:r w:rsidRPr="004E0CA2">
        <w:rPr>
          <w:noProof/>
        </w:rPr>
        <w:drawing>
          <wp:inline distT="0" distB="0" distL="0" distR="0" wp14:anchorId="39B263DF" wp14:editId="39B263E0">
            <wp:extent cx="3942379" cy="4148764"/>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loud_arch.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2539" cy="4148932"/>
                    </a:xfrm>
                    <a:prstGeom prst="rect">
                      <a:avLst/>
                    </a:prstGeom>
                  </pic:spPr>
                </pic:pic>
              </a:graphicData>
            </a:graphic>
          </wp:inline>
        </w:drawing>
      </w:r>
    </w:p>
    <w:p w14:paraId="39B262ED" w14:textId="77777777" w:rsidR="009B25BF" w:rsidRPr="004E0CA2" w:rsidRDefault="00560B3D" w:rsidP="00560B3D">
      <w:pPr>
        <w:pStyle w:val="Caption"/>
      </w:pPr>
      <w:proofErr w:type="gramStart"/>
      <w:r>
        <w:t>Fig.</w:t>
      </w:r>
      <w:proofErr w:type="gramEnd"/>
      <w:r>
        <w:t xml:space="preserve">  </w:t>
      </w:r>
      <w:fldSimple w:instr=" SEQ Fig._ \* ARABIC ">
        <w:r w:rsidR="003B6712">
          <w:rPr>
            <w:noProof/>
          </w:rPr>
          <w:t>1</w:t>
        </w:r>
      </w:fldSimple>
      <w:r>
        <w:t xml:space="preserve"> </w:t>
      </w:r>
      <w:r w:rsidRPr="0011562D">
        <w:t>The high level architecture of the e-government technology platform</w:t>
      </w:r>
    </w:p>
    <w:p w14:paraId="39B262EE" w14:textId="6CA73E74" w:rsidR="009B25BF" w:rsidRPr="004E0CA2" w:rsidRDefault="009B25BF" w:rsidP="0028126B">
      <w:r w:rsidRPr="004E0CA2">
        <w:t xml:space="preserve">The </w:t>
      </w:r>
      <w:r w:rsidR="00175C13">
        <w:t>I</w:t>
      </w:r>
      <w:r w:rsidRPr="004E0CA2">
        <w:t xml:space="preserve">nfrastructure </w:t>
      </w:r>
      <w:r w:rsidR="00175C13">
        <w:t xml:space="preserve">level </w:t>
      </w:r>
      <w:r w:rsidR="00B54F0A">
        <w:t>s</w:t>
      </w:r>
      <w:r w:rsidRPr="004E0CA2">
        <w:t xml:space="preserve">ervices will mainly rely on re-using existing and upgraded service provision offered by </w:t>
      </w:r>
      <w:r w:rsidR="003B6933">
        <w:t>the Center for Special Telecommunications</w:t>
      </w:r>
      <w:r w:rsidRPr="004E0CA2">
        <w:t xml:space="preserve">. Using </w:t>
      </w:r>
      <w:r w:rsidR="003B6933">
        <w:t>Government’s common infrastructure</w:t>
      </w:r>
      <w:r w:rsidR="003B6933" w:rsidRPr="004E0CA2">
        <w:t xml:space="preserve"> </w:t>
      </w:r>
      <w:r w:rsidRPr="004E0CA2">
        <w:t>services will allow ministries and agencies to extend their IT capacity</w:t>
      </w:r>
      <w:r w:rsidR="00E53748">
        <w:t xml:space="preserve"> in a very short time frame</w:t>
      </w:r>
      <w:r w:rsidRPr="004E0CA2">
        <w:t>. When requested resources are no longer necessary</w:t>
      </w:r>
      <w:r w:rsidR="00175C13">
        <w:t>,</w:t>
      </w:r>
      <w:r w:rsidRPr="004E0CA2">
        <w:t xml:space="preserve"> the agency </w:t>
      </w:r>
      <w:r w:rsidR="00B54F0A">
        <w:t xml:space="preserve">will be able to </w:t>
      </w:r>
      <w:r w:rsidR="00E53748">
        <w:t>scale them down</w:t>
      </w:r>
      <w:r w:rsidRPr="004E0CA2">
        <w:t xml:space="preserve">, </w:t>
      </w:r>
      <w:r w:rsidR="00E53748">
        <w:t>therefore functioning on a pay-for-</w:t>
      </w:r>
      <w:r w:rsidRPr="004E0CA2">
        <w:t>usage</w:t>
      </w:r>
      <w:r w:rsidR="00E53748">
        <w:t xml:space="preserve"> basis</w:t>
      </w:r>
      <w:r w:rsidRPr="004E0CA2">
        <w:t>.</w:t>
      </w:r>
    </w:p>
    <w:p w14:paraId="39B262EF" w14:textId="77777777" w:rsidR="00175C13" w:rsidRDefault="00175C13" w:rsidP="0028126B"/>
    <w:p w14:paraId="39B262F0" w14:textId="77777777" w:rsidR="009B25BF" w:rsidRPr="004E0CA2" w:rsidRDefault="009B25BF" w:rsidP="0028126B">
      <w:r w:rsidRPr="004E0CA2">
        <w:lastRenderedPageBreak/>
        <w:t xml:space="preserve">The </w:t>
      </w:r>
      <w:r w:rsidR="00175C13">
        <w:t>P</w:t>
      </w:r>
      <w:r w:rsidRPr="004E0CA2">
        <w:t xml:space="preserve">latform </w:t>
      </w:r>
      <w:r w:rsidR="00175C13">
        <w:t xml:space="preserve">level </w:t>
      </w:r>
      <w:r w:rsidRPr="004E0CA2">
        <w:t>services will</w:t>
      </w:r>
      <w:r w:rsidR="00B54F0A">
        <w:t xml:space="preserve"> </w:t>
      </w:r>
      <w:r w:rsidRPr="004E0CA2">
        <w:t>offer common functionalit</w:t>
      </w:r>
      <w:r w:rsidR="00175C13">
        <w:t>ies</w:t>
      </w:r>
      <w:r w:rsidRPr="004E0CA2">
        <w:t xml:space="preserve"> to business services operated </w:t>
      </w:r>
      <w:r w:rsidR="00175C13">
        <w:t>by ministries and agencies on the Software as a Service level</w:t>
      </w:r>
      <w:r w:rsidRPr="004E0CA2">
        <w:t>. At the time being</w:t>
      </w:r>
      <w:r w:rsidR="00175C13">
        <w:t>,</w:t>
      </w:r>
      <w:r w:rsidRPr="004E0CA2">
        <w:t xml:space="preserve"> the architecture defines four re-usable </w:t>
      </w:r>
      <w:r w:rsidR="00175C13">
        <w:t>Platform level</w:t>
      </w:r>
      <w:r w:rsidR="00175C13" w:rsidRPr="004E0CA2">
        <w:t xml:space="preserve"> </w:t>
      </w:r>
      <w:r w:rsidRPr="004E0CA2">
        <w:t>services:</w:t>
      </w:r>
    </w:p>
    <w:p w14:paraId="39B262F1" w14:textId="77777777" w:rsidR="009B25BF" w:rsidRPr="001A4A56" w:rsidRDefault="009B25BF" w:rsidP="001A4A56">
      <w:pPr>
        <w:pStyle w:val="ListParagraph"/>
        <w:numPr>
          <w:ilvl w:val="0"/>
          <w:numId w:val="2"/>
        </w:numPr>
        <w:rPr>
          <w:rFonts w:cs="Times New Roman"/>
        </w:rPr>
      </w:pPr>
      <w:r w:rsidRPr="001A4A56">
        <w:rPr>
          <w:rFonts w:cs="Times New Roman"/>
        </w:rPr>
        <w:t>Authentication and Access Control service (AAC) – provides a unified way to solve application security related tasks such as identity management, authentication, transaction authorization etc.;</w:t>
      </w:r>
    </w:p>
    <w:p w14:paraId="39B262F2" w14:textId="6713EC50" w:rsidR="009B25BF" w:rsidRPr="001A4A56" w:rsidRDefault="00616051" w:rsidP="001A4A56">
      <w:pPr>
        <w:pStyle w:val="ListParagraph"/>
        <w:numPr>
          <w:ilvl w:val="0"/>
          <w:numId w:val="2"/>
        </w:numPr>
        <w:rPr>
          <w:rFonts w:cs="Times New Roman"/>
        </w:rPr>
      </w:pPr>
      <w:r>
        <w:rPr>
          <w:rFonts w:cs="Times New Roman"/>
        </w:rPr>
        <w:t>E-</w:t>
      </w:r>
      <w:r w:rsidR="009B25BF" w:rsidRPr="001A4A56">
        <w:rPr>
          <w:rFonts w:cs="Times New Roman"/>
        </w:rPr>
        <w:t>Payment</w:t>
      </w:r>
      <w:r w:rsidR="00900D5E">
        <w:rPr>
          <w:rFonts w:cs="Times New Roman"/>
        </w:rPr>
        <w:t xml:space="preserve"> </w:t>
      </w:r>
      <w:r w:rsidR="009B25BF" w:rsidRPr="001A4A56">
        <w:rPr>
          <w:rFonts w:cs="Times New Roman"/>
        </w:rPr>
        <w:t xml:space="preserve">service - provides a unified way to </w:t>
      </w:r>
      <w:r w:rsidR="00D4070F">
        <w:rPr>
          <w:rFonts w:cs="Times New Roman"/>
        </w:rPr>
        <w:t>offer</w:t>
      </w:r>
      <w:r w:rsidR="00D4070F" w:rsidRPr="001A4A56">
        <w:rPr>
          <w:rFonts w:cs="Times New Roman"/>
        </w:rPr>
        <w:t xml:space="preserve"> </w:t>
      </w:r>
      <w:r w:rsidR="009B25BF" w:rsidRPr="001A4A56">
        <w:rPr>
          <w:rFonts w:cs="Times New Roman"/>
        </w:rPr>
        <w:t>electronic payments;</w:t>
      </w:r>
    </w:p>
    <w:p w14:paraId="39B262F3" w14:textId="025DA2CA" w:rsidR="009B25BF" w:rsidRPr="001A4A56" w:rsidRDefault="009B25BF" w:rsidP="001A4A56">
      <w:pPr>
        <w:pStyle w:val="ListParagraph"/>
        <w:numPr>
          <w:ilvl w:val="0"/>
          <w:numId w:val="2"/>
        </w:numPr>
        <w:rPr>
          <w:rFonts w:cs="Times New Roman"/>
        </w:rPr>
      </w:pPr>
      <w:r w:rsidRPr="001A4A56">
        <w:rPr>
          <w:rFonts w:cs="Times New Roman"/>
        </w:rPr>
        <w:t>Notification service – provides a unified way to send notifications when needed, thus allowing for offline interaction with citizen</w:t>
      </w:r>
      <w:r w:rsidR="004001B3" w:rsidRPr="001A4A56">
        <w:rPr>
          <w:rFonts w:cs="Times New Roman"/>
        </w:rPr>
        <w:t>s</w:t>
      </w:r>
      <w:r w:rsidRPr="001A4A56">
        <w:rPr>
          <w:rFonts w:cs="Times New Roman"/>
        </w:rPr>
        <w:t>;</w:t>
      </w:r>
    </w:p>
    <w:p w14:paraId="39B262F4" w14:textId="5D3ADE2C" w:rsidR="009B25BF" w:rsidRPr="001A4A56" w:rsidRDefault="009B25BF" w:rsidP="001A4A56">
      <w:pPr>
        <w:pStyle w:val="ListParagraph"/>
        <w:numPr>
          <w:ilvl w:val="0"/>
          <w:numId w:val="2"/>
        </w:numPr>
        <w:rPr>
          <w:rFonts w:cs="Times New Roman"/>
        </w:rPr>
      </w:pPr>
      <w:r w:rsidRPr="001A4A56">
        <w:rPr>
          <w:rFonts w:cs="Times New Roman"/>
        </w:rPr>
        <w:t xml:space="preserve">Journal service – provides a unified way to store and retrieve data regarding user activity </w:t>
      </w:r>
      <w:r w:rsidR="00D4070F">
        <w:rPr>
          <w:rFonts w:cs="Times New Roman"/>
        </w:rPr>
        <w:t xml:space="preserve">and access </w:t>
      </w:r>
      <w:r w:rsidRPr="001A4A56">
        <w:rPr>
          <w:rFonts w:cs="Times New Roman"/>
        </w:rPr>
        <w:t>within information systems.</w:t>
      </w:r>
    </w:p>
    <w:p w14:paraId="39B262F5" w14:textId="77777777" w:rsidR="009B25BF" w:rsidRPr="004E0CA2" w:rsidRDefault="009B25BF" w:rsidP="0028126B">
      <w:r w:rsidRPr="004E0CA2">
        <w:t xml:space="preserve">Platform </w:t>
      </w:r>
      <w:r w:rsidR="004001B3">
        <w:t xml:space="preserve">level </w:t>
      </w:r>
      <w:r w:rsidRPr="004E0CA2">
        <w:t xml:space="preserve">services are intended to be </w:t>
      </w:r>
      <w:r w:rsidR="004001B3">
        <w:t>utilized</w:t>
      </w:r>
      <w:r w:rsidR="004001B3" w:rsidRPr="004E0CA2">
        <w:t xml:space="preserve"> </w:t>
      </w:r>
      <w:r w:rsidRPr="004E0CA2">
        <w:t xml:space="preserve">by </w:t>
      </w:r>
      <w:r w:rsidR="004001B3">
        <w:t>current and future electronic</w:t>
      </w:r>
      <w:r w:rsidR="004001B3" w:rsidRPr="004E0CA2">
        <w:t xml:space="preserve"> </w:t>
      </w:r>
      <w:r w:rsidRPr="004E0CA2">
        <w:t>services</w:t>
      </w:r>
      <w:r w:rsidR="004001B3">
        <w:t xml:space="preserve"> that ministries and agencies can develop</w:t>
      </w:r>
      <w:r w:rsidRPr="004E0CA2">
        <w:t>.</w:t>
      </w:r>
    </w:p>
    <w:p w14:paraId="39B262F6" w14:textId="77777777" w:rsidR="002833BF" w:rsidRDefault="002833BF" w:rsidP="0028126B"/>
    <w:p w14:paraId="39B262F7" w14:textId="205D141B" w:rsidR="009B25BF" w:rsidRPr="004E0CA2" w:rsidRDefault="009B25BF" w:rsidP="0028126B">
      <w:r w:rsidRPr="004E0CA2">
        <w:t xml:space="preserve">The M-Cloud platform also contains a communication layer based on an enterprise service bus (ESB). Through this </w:t>
      </w:r>
      <w:r w:rsidR="00D4070F">
        <w:t>ESB</w:t>
      </w:r>
      <w:r w:rsidR="004001B3">
        <w:t>,</w:t>
      </w:r>
      <w:r w:rsidRPr="004E0CA2">
        <w:t xml:space="preserve"> </w:t>
      </w:r>
      <w:r w:rsidR="00D4070F">
        <w:t xml:space="preserve">electronic </w:t>
      </w:r>
      <w:r w:rsidRPr="004E0CA2">
        <w:t xml:space="preserve">services </w:t>
      </w:r>
      <w:r w:rsidR="00D4070F">
        <w:t>and information systems</w:t>
      </w:r>
      <w:r w:rsidR="00D4070F" w:rsidRPr="004E0CA2">
        <w:t xml:space="preserve"> will</w:t>
      </w:r>
      <w:r w:rsidRPr="004E0CA2">
        <w:t xml:space="preserve"> be able to exchange messages</w:t>
      </w:r>
      <w:r w:rsidR="007B620E">
        <w:t>. This in turn will</w:t>
      </w:r>
      <w:r w:rsidRPr="004E0CA2">
        <w:t xml:space="preserve"> </w:t>
      </w:r>
      <w:r w:rsidR="0078427F">
        <w:t xml:space="preserve">allow creating </w:t>
      </w:r>
      <w:r w:rsidRPr="004E0CA2">
        <w:t>complex business processes</w:t>
      </w:r>
      <w:r w:rsidR="007B620E">
        <w:t xml:space="preserve"> that are to be </w:t>
      </w:r>
      <w:r w:rsidR="0078427F">
        <w:t>orchestrated by business process management tools</w:t>
      </w:r>
      <w:r w:rsidRPr="004E0CA2">
        <w:t>.</w:t>
      </w:r>
    </w:p>
    <w:p w14:paraId="39B262F8" w14:textId="77777777" w:rsidR="002833BF" w:rsidRDefault="002833BF" w:rsidP="0028126B"/>
    <w:p w14:paraId="39B262F9" w14:textId="77777777" w:rsidR="009B25BF" w:rsidRPr="004E0CA2" w:rsidRDefault="009B25BF" w:rsidP="0028126B">
      <w:r w:rsidRPr="004E0CA2">
        <w:t xml:space="preserve">Services delivered at the </w:t>
      </w:r>
      <w:proofErr w:type="spellStart"/>
      <w:r w:rsidRPr="004E0CA2">
        <w:t>SaaS</w:t>
      </w:r>
      <w:proofErr w:type="spellEnd"/>
      <w:r w:rsidRPr="004E0CA2">
        <w:t xml:space="preserve"> level could be grouped into two major categories – sectorial services and shared services.</w:t>
      </w:r>
    </w:p>
    <w:p w14:paraId="39B262FA" w14:textId="77777777" w:rsidR="002833BF" w:rsidRDefault="002833BF" w:rsidP="0028126B"/>
    <w:p w14:paraId="39B262FB" w14:textId="19C882B7" w:rsidR="009B25BF" w:rsidRPr="004E0CA2" w:rsidRDefault="009B25BF" w:rsidP="0028126B">
      <w:r w:rsidRPr="004E0CA2">
        <w:t xml:space="preserve">Sectorial services are implemented and maintained by different sectors, such as education, healthcare, social protection etc. and directly consumed by citizens. </w:t>
      </w:r>
      <w:r w:rsidR="00D4070F">
        <w:t xml:space="preserve">Usually, sectorial services differ widely from ministry to ministry to public agency. However different the sectorial services, citizens will benefit from access through a common portal that is to be developed, called the Government for Citizen Portal. </w:t>
      </w:r>
      <w:r w:rsidR="007B620E">
        <w:t>Access to the portal will be possible through d</w:t>
      </w:r>
      <w:r w:rsidRPr="004E0CA2">
        <w:t>ifferent channels such as web, mobile or kiosk</w:t>
      </w:r>
      <w:r w:rsidR="00D4070F">
        <w:t>s, in order to insure broad access of population</w:t>
      </w:r>
      <w:r w:rsidR="00025FA0">
        <w:t xml:space="preserve"> to public electronic services.</w:t>
      </w:r>
    </w:p>
    <w:p w14:paraId="39B262FC" w14:textId="77777777" w:rsidR="002833BF" w:rsidRDefault="002833BF" w:rsidP="0028126B"/>
    <w:p w14:paraId="39B262FD" w14:textId="1FE05350" w:rsidR="009B25BF" w:rsidRPr="004E0CA2" w:rsidRDefault="009B25BF" w:rsidP="0028126B">
      <w:r w:rsidRPr="004E0CA2">
        <w:t xml:space="preserve">Shared services at the </w:t>
      </w:r>
      <w:proofErr w:type="spellStart"/>
      <w:r w:rsidRPr="004E0CA2">
        <w:t>SaaS</w:t>
      </w:r>
      <w:proofErr w:type="spellEnd"/>
      <w:r w:rsidRPr="004E0CA2">
        <w:t xml:space="preserve"> level are those services which </w:t>
      </w:r>
      <w:r w:rsidR="00D4070F">
        <w:t>are</w:t>
      </w:r>
      <w:r w:rsidR="00D4070F" w:rsidRPr="004E0CA2">
        <w:t xml:space="preserve"> </w:t>
      </w:r>
      <w:r w:rsidRPr="004E0CA2">
        <w:t>used across ministries and agencies</w:t>
      </w:r>
      <w:r w:rsidR="00D4070F">
        <w:t xml:space="preserve"> in similar ways</w:t>
      </w:r>
      <w:r w:rsidRPr="004E0CA2">
        <w:t xml:space="preserve">. Examples of such services </w:t>
      </w:r>
      <w:r w:rsidR="00D4070F">
        <w:t>are</w:t>
      </w:r>
      <w:r w:rsidR="00D4070F" w:rsidRPr="004E0CA2">
        <w:t xml:space="preserve"> </w:t>
      </w:r>
      <w:r w:rsidRPr="004E0CA2">
        <w:t xml:space="preserve">electronic document management system, human resources and payroll system, </w:t>
      </w:r>
      <w:r w:rsidR="00BC3575">
        <w:t xml:space="preserve">CRM and </w:t>
      </w:r>
      <w:r w:rsidRPr="004E0CA2">
        <w:t xml:space="preserve">reporting </w:t>
      </w:r>
      <w:r w:rsidR="00FB0218" w:rsidRPr="004E0CA2">
        <w:t>system</w:t>
      </w:r>
      <w:r w:rsidR="00FB0218">
        <w:t xml:space="preserve">. Usually, shared government </w:t>
      </w:r>
      <w:r w:rsidRPr="004E0CA2">
        <w:t xml:space="preserve">services help optimize </w:t>
      </w:r>
      <w:r w:rsidR="004001B3">
        <w:t xml:space="preserve">the work of </w:t>
      </w:r>
      <w:r w:rsidRPr="004E0CA2">
        <w:t>public sector authorities</w:t>
      </w:r>
      <w:r w:rsidR="00FB0218">
        <w:t xml:space="preserve"> and are done in a similar way from ministry to ministry and agency</w:t>
      </w:r>
      <w:r w:rsidR="00025FA0">
        <w:t>.</w:t>
      </w:r>
    </w:p>
    <w:p w14:paraId="39B262FE" w14:textId="77777777" w:rsidR="009B25BF" w:rsidRPr="004E0CA2" w:rsidRDefault="009B25BF" w:rsidP="0028126B">
      <w:pPr>
        <w:pStyle w:val="Heading2"/>
      </w:pPr>
      <w:r w:rsidRPr="004E0CA2">
        <w:t xml:space="preserve">Platform </w:t>
      </w:r>
      <w:r w:rsidR="004001B3">
        <w:t xml:space="preserve">level </w:t>
      </w:r>
      <w:r w:rsidRPr="004E0CA2">
        <w:t>services design</w:t>
      </w:r>
    </w:p>
    <w:p w14:paraId="39B262FF" w14:textId="16895B41" w:rsidR="00BC3575" w:rsidRDefault="009B25BF" w:rsidP="0028126B">
      <w:r w:rsidRPr="004E0CA2">
        <w:t xml:space="preserve">Since platform level services will be re-used by many business services in a multitude of contexts, they </w:t>
      </w:r>
      <w:r w:rsidR="00FB0218">
        <w:t>will</w:t>
      </w:r>
      <w:r w:rsidR="00FB0218" w:rsidRPr="004E0CA2">
        <w:t xml:space="preserve"> </w:t>
      </w:r>
      <w:r w:rsidRPr="004E0CA2">
        <w:t xml:space="preserve">be highly configurable to accommodate different usage scenarios. On the other hand, </w:t>
      </w:r>
      <w:r w:rsidR="00FB0218">
        <w:t>it is a common practice and many private</w:t>
      </w:r>
      <w:r w:rsidR="00FB0218" w:rsidRPr="004E0CA2">
        <w:t xml:space="preserve"> </w:t>
      </w:r>
      <w:r w:rsidRPr="004E0CA2">
        <w:t xml:space="preserve">companies </w:t>
      </w:r>
      <w:r w:rsidR="00FB0218">
        <w:t xml:space="preserve">already have experience in </w:t>
      </w:r>
      <w:r w:rsidRPr="004E0CA2">
        <w:t xml:space="preserve">providing </w:t>
      </w:r>
      <w:r w:rsidR="005A529C">
        <w:t>commercial solutions</w:t>
      </w:r>
      <w:r w:rsidR="00FB0218">
        <w:t xml:space="preserve"> for platform level services</w:t>
      </w:r>
      <w:r w:rsidRPr="004E0CA2">
        <w:t xml:space="preserve">. </w:t>
      </w:r>
    </w:p>
    <w:p w14:paraId="39B26300" w14:textId="77777777" w:rsidR="0078427F" w:rsidRDefault="00B01F23" w:rsidP="0028126B">
      <w:r>
        <w:t>The architecture of platform level services will</w:t>
      </w:r>
      <w:r w:rsidR="00584AF1">
        <w:t xml:space="preserve"> be based on provider architectural pattern, which decouples the generic service from its specific implementation. In this case vendors will have to conform to clear communication interfaces which act as technical contracts between components. </w:t>
      </w:r>
    </w:p>
    <w:p w14:paraId="39B26301" w14:textId="77777777" w:rsidR="004E0CA2" w:rsidRPr="004E0CA2" w:rsidRDefault="004E0CA2" w:rsidP="0028126B"/>
    <w:p w14:paraId="39B26302" w14:textId="77777777" w:rsidR="00560B3D" w:rsidRDefault="009B25BF" w:rsidP="00560B3D">
      <w:pPr>
        <w:keepNext/>
        <w:jc w:val="center"/>
      </w:pPr>
      <w:r w:rsidRPr="004E0CA2">
        <w:rPr>
          <w:noProof/>
        </w:rPr>
        <w:lastRenderedPageBreak/>
        <w:drawing>
          <wp:inline distT="0" distB="0" distL="0" distR="0" wp14:anchorId="39B263E1" wp14:editId="39B263E2">
            <wp:extent cx="3181409" cy="18915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_mode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2843" cy="1892355"/>
                    </a:xfrm>
                    <a:prstGeom prst="rect">
                      <a:avLst/>
                    </a:prstGeom>
                  </pic:spPr>
                </pic:pic>
              </a:graphicData>
            </a:graphic>
          </wp:inline>
        </w:drawing>
      </w:r>
    </w:p>
    <w:p w14:paraId="39B26303" w14:textId="77777777" w:rsidR="009B25BF" w:rsidRPr="004E0CA2" w:rsidRDefault="00560B3D" w:rsidP="00560B3D">
      <w:pPr>
        <w:pStyle w:val="Caption"/>
      </w:pPr>
      <w:proofErr w:type="gramStart"/>
      <w:r>
        <w:t>Fig.</w:t>
      </w:r>
      <w:proofErr w:type="gramEnd"/>
      <w:r>
        <w:t xml:space="preserve">  </w:t>
      </w:r>
      <w:fldSimple w:instr=" SEQ Fig._ \* ARABIC ">
        <w:r w:rsidR="003B6712">
          <w:rPr>
            <w:noProof/>
          </w:rPr>
          <w:t>2</w:t>
        </w:r>
      </w:fldSimple>
      <w:r>
        <w:t xml:space="preserve"> </w:t>
      </w:r>
      <w:r w:rsidRPr="00F86B23">
        <w:t>The provider design pattern</w:t>
      </w:r>
    </w:p>
    <w:p w14:paraId="39B26304" w14:textId="77777777" w:rsidR="000A4390" w:rsidRDefault="000A4390" w:rsidP="0028126B"/>
    <w:p w14:paraId="39B26305" w14:textId="45EAE531" w:rsidR="000A4390" w:rsidRDefault="000A4390" w:rsidP="0028126B">
      <w:r>
        <w:t>This architecture of the platform level services offers important benefits. Among them are:</w:t>
      </w:r>
    </w:p>
    <w:p w14:paraId="39B26306" w14:textId="5F6760EA" w:rsidR="000A4390" w:rsidRPr="00652209" w:rsidRDefault="000A4390" w:rsidP="000A4390">
      <w:pPr>
        <w:pStyle w:val="ListParagraph"/>
        <w:numPr>
          <w:ilvl w:val="0"/>
          <w:numId w:val="2"/>
        </w:numPr>
      </w:pPr>
      <w:r w:rsidRPr="00652209">
        <w:t xml:space="preserve">Functional Flexibility – It is possible to configure different service providers to be invoked in different </w:t>
      </w:r>
      <w:r w:rsidR="00FB0218" w:rsidRPr="00652209">
        <w:t>usage scenarios</w:t>
      </w:r>
      <w:r w:rsidRPr="00652209">
        <w:t>. It is also possible to use one or many providers for the same transaction if necessary (as in case of authentication for instance). In other words the solution is highly adaptive to different usage scenarios.</w:t>
      </w:r>
    </w:p>
    <w:p w14:paraId="39B26307" w14:textId="77777777" w:rsidR="000A4390" w:rsidRPr="00652209" w:rsidRDefault="000A4390" w:rsidP="000A4390">
      <w:pPr>
        <w:pStyle w:val="ListParagraph"/>
        <w:numPr>
          <w:ilvl w:val="0"/>
          <w:numId w:val="2"/>
        </w:numPr>
      </w:pPr>
      <w:r w:rsidRPr="00652209">
        <w:t xml:space="preserve">Higher Availability – This design contributes to higher availability of the system, since if a service provider will fail still others are operable and the overall system </w:t>
      </w:r>
      <w:r w:rsidR="00D46433" w:rsidRPr="00652209">
        <w:t>continues to function.</w:t>
      </w:r>
    </w:p>
    <w:p w14:paraId="39B26308" w14:textId="4C5DF447" w:rsidR="00D46433" w:rsidRPr="00652209" w:rsidRDefault="00D46433" w:rsidP="000A4390">
      <w:pPr>
        <w:pStyle w:val="ListParagraph"/>
        <w:numPr>
          <w:ilvl w:val="0"/>
          <w:numId w:val="2"/>
        </w:numPr>
      </w:pPr>
      <w:r w:rsidRPr="00652209">
        <w:t xml:space="preserve">Cost Efficiency – </w:t>
      </w:r>
      <w:r w:rsidR="00196359" w:rsidRPr="00652209">
        <w:t>The</w:t>
      </w:r>
      <w:r w:rsidRPr="00652209">
        <w:t xml:space="preserve"> efficiency</w:t>
      </w:r>
      <w:r w:rsidR="00196359" w:rsidRPr="00652209">
        <w:t xml:space="preserve"> benefits are twofold</w:t>
      </w:r>
      <w:r w:rsidRPr="00652209">
        <w:t>. First</w:t>
      </w:r>
      <w:r w:rsidR="00196359" w:rsidRPr="00652209">
        <w:t>,</w:t>
      </w:r>
      <w:r w:rsidRPr="00652209">
        <w:t xml:space="preserve"> since the Service is a re-usable component it saves implementation </w:t>
      </w:r>
      <w:r w:rsidR="00196359" w:rsidRPr="00652209">
        <w:t xml:space="preserve">and integration costs </w:t>
      </w:r>
      <w:r w:rsidRPr="00652209">
        <w:t>for each</w:t>
      </w:r>
      <w:r w:rsidR="00196359" w:rsidRPr="00652209">
        <w:t xml:space="preserve"> electronic service</w:t>
      </w:r>
      <w:r w:rsidRPr="00652209">
        <w:t>. Secondly, the design allows</w:t>
      </w:r>
      <w:r w:rsidR="00196359" w:rsidRPr="00652209">
        <w:t xml:space="preserve"> connection to</w:t>
      </w:r>
      <w:r w:rsidRPr="00652209">
        <w:t xml:space="preserve"> multiple providers </w:t>
      </w:r>
      <w:r w:rsidR="00196359" w:rsidRPr="00652209">
        <w:t xml:space="preserve">and leads to </w:t>
      </w:r>
      <w:r w:rsidRPr="00652209">
        <w:t>healthy competition between them, letting providers to compete on quality of service and on prices</w:t>
      </w:r>
      <w:r w:rsidR="00196359" w:rsidRPr="00652209">
        <w:t xml:space="preserve"> for the citizens</w:t>
      </w:r>
      <w:r w:rsidR="00025FA0" w:rsidRPr="00652209">
        <w:t>.</w:t>
      </w:r>
    </w:p>
    <w:p w14:paraId="39B26309" w14:textId="6ACFC916" w:rsidR="000A27D9" w:rsidRDefault="000A27D9" w:rsidP="000A4390">
      <w:pPr>
        <w:pStyle w:val="ListParagraph"/>
        <w:numPr>
          <w:ilvl w:val="0"/>
          <w:numId w:val="2"/>
        </w:numPr>
      </w:pPr>
      <w:r w:rsidRPr="00652209">
        <w:t xml:space="preserve">High </w:t>
      </w:r>
      <w:r w:rsidR="00D46433" w:rsidRPr="00652209">
        <w:t>Maintainability</w:t>
      </w:r>
      <w:r w:rsidR="00D46433">
        <w:t xml:space="preserve"> – The system’s components </w:t>
      </w:r>
      <w:r w:rsidR="00D46433" w:rsidRPr="00025FA0">
        <w:t>are highly</w:t>
      </w:r>
      <w:r w:rsidR="00D46433">
        <w:t xml:space="preserve"> decoupled and communicate through well-defined interfaces.</w:t>
      </w:r>
      <w:r w:rsidR="00196359">
        <w:t xml:space="preserve"> All</w:t>
      </w:r>
      <w:r w:rsidR="00382D99">
        <w:t xml:space="preserve"> </w:t>
      </w:r>
      <w:r w:rsidR="00D46433">
        <w:t xml:space="preserve">providers are connected through configurable </w:t>
      </w:r>
      <w:r>
        <w:t xml:space="preserve">parameters, which make it possible to add new providers or to disable existing </w:t>
      </w:r>
      <w:r w:rsidR="00196359">
        <w:t xml:space="preserve">providers </w:t>
      </w:r>
      <w:r>
        <w:t>on the fly.</w:t>
      </w:r>
    </w:p>
    <w:p w14:paraId="39B2630A" w14:textId="124E30E7" w:rsidR="000A4390" w:rsidRDefault="000A4390" w:rsidP="000A4390">
      <w:pPr>
        <w:pStyle w:val="ListParagraph"/>
        <w:numPr>
          <w:ilvl w:val="0"/>
          <w:numId w:val="2"/>
        </w:numPr>
      </w:pPr>
      <w:r>
        <w:t xml:space="preserve">Neutrality – </w:t>
      </w:r>
      <w:r w:rsidR="000A27D9">
        <w:t xml:space="preserve">The design allows equal possibilities and conditions for providers to get on board and </w:t>
      </w:r>
      <w:r w:rsidR="00196359">
        <w:t xml:space="preserve">for </w:t>
      </w:r>
      <w:r w:rsidR="000A27D9">
        <w:t>citizen</w:t>
      </w:r>
      <w:r w:rsidR="00196359">
        <w:t>s</w:t>
      </w:r>
      <w:r w:rsidR="000A27D9">
        <w:t xml:space="preserve"> </w:t>
      </w:r>
      <w:r w:rsidR="00196359">
        <w:t xml:space="preserve">to </w:t>
      </w:r>
      <w:r w:rsidR="000A27D9">
        <w:t>decide who will serve him/her.</w:t>
      </w:r>
    </w:p>
    <w:p w14:paraId="39B2630B" w14:textId="64099F6C" w:rsidR="000A27D9" w:rsidRDefault="000A27D9" w:rsidP="000A27D9">
      <w:r>
        <w:t xml:space="preserve">In the following sections </w:t>
      </w:r>
      <w:r w:rsidR="00196359">
        <w:t>these architecture principles will</w:t>
      </w:r>
      <w:r w:rsidR="00DB69A2">
        <w:t xml:space="preserve"> be translated to </w:t>
      </w:r>
      <w:r w:rsidR="00196359">
        <w:t xml:space="preserve">the </w:t>
      </w:r>
      <w:proofErr w:type="spellStart"/>
      <w:r w:rsidR="00DB69A2">
        <w:t>GePG</w:t>
      </w:r>
      <w:proofErr w:type="spellEnd"/>
      <w:r w:rsidR="00DB69A2">
        <w:t xml:space="preserve"> component and these benefits will be reflected in the further analysis.</w:t>
      </w:r>
    </w:p>
    <w:p w14:paraId="39B2630D" w14:textId="1F40AEAD" w:rsidR="00DB69A2" w:rsidRDefault="00DB69A2" w:rsidP="00DB69A2">
      <w:pPr>
        <w:pStyle w:val="Heading1"/>
      </w:pPr>
      <w:proofErr w:type="gramStart"/>
      <w:r>
        <w:t>e-Payment</w:t>
      </w:r>
      <w:proofErr w:type="gramEnd"/>
      <w:r>
        <w:t xml:space="preserve"> service</w:t>
      </w:r>
    </w:p>
    <w:p w14:paraId="39B2630E" w14:textId="5FE65D76" w:rsidR="00DB69A2" w:rsidRDefault="00DB69A2" w:rsidP="00DB69A2">
      <w:r>
        <w:t xml:space="preserve">The </w:t>
      </w:r>
      <w:r w:rsidR="00E971FC">
        <w:t xml:space="preserve">Government </w:t>
      </w:r>
      <w:r>
        <w:t>e-Payment</w:t>
      </w:r>
      <w:r w:rsidR="00382D99">
        <w:t xml:space="preserve"> Gateway</w:t>
      </w:r>
      <w:r>
        <w:t xml:space="preserve"> service will be offered to end users as part of the </w:t>
      </w:r>
      <w:r w:rsidR="00043BFF">
        <w:t>public service</w:t>
      </w:r>
      <w:r>
        <w:t xml:space="preserve"> they are paying for, hence it is to be presented </w:t>
      </w:r>
      <w:r w:rsidRPr="005B0C02">
        <w:t>as a fine grain service in a service oriented setup, where each entity has governance over its own services and components, while the e-Government platform maintains th</w:t>
      </w:r>
      <w:r w:rsidR="00734A43" w:rsidRPr="005B0C02">
        <w:t xml:space="preserve">e </w:t>
      </w:r>
      <w:proofErr w:type="spellStart"/>
      <w:r w:rsidR="00E971FC">
        <w:t>GePG</w:t>
      </w:r>
      <w:proofErr w:type="spellEnd"/>
      <w:r w:rsidR="00734A43" w:rsidRPr="005B0C02">
        <w:t xml:space="preserve"> </w:t>
      </w:r>
      <w:r w:rsidRPr="005B0C02">
        <w:t xml:space="preserve">as well as other </w:t>
      </w:r>
      <w:r w:rsidR="00734A43" w:rsidRPr="005B0C02">
        <w:t xml:space="preserve">platform </w:t>
      </w:r>
      <w:r w:rsidRPr="005B0C02">
        <w:t>services where all services are loosely coupled to create a more coarse grained service.</w:t>
      </w:r>
    </w:p>
    <w:p w14:paraId="39B2630F" w14:textId="780C02A8" w:rsidR="00DB69A2" w:rsidRPr="00DE66EC" w:rsidRDefault="00DB69A2" w:rsidP="00DB69A2">
      <w:r>
        <w:t xml:space="preserve">The primary aim of this service is to enable government agencies to offer electronic payment </w:t>
      </w:r>
      <w:r w:rsidR="00734A43">
        <w:t>to the citizens</w:t>
      </w:r>
      <w:r>
        <w:t xml:space="preserve">. The gateway should enable connecting agencies to multiple Payment Service Providers (PSP), regardless of the payment methods they offer, and this is accomplished by </w:t>
      </w:r>
      <w:r>
        <w:lastRenderedPageBreak/>
        <w:t xml:space="preserve">having clear specifications for an interface at its both ends, namely with the Payment Service Providers and Government </w:t>
      </w:r>
      <w:r w:rsidR="00734A43">
        <w:t xml:space="preserve">Service Providers </w:t>
      </w:r>
      <w:r>
        <w:t>as shown in the figure below.</w:t>
      </w:r>
    </w:p>
    <w:p w14:paraId="39B26310" w14:textId="77777777" w:rsidR="000A4390" w:rsidRDefault="000A4390" w:rsidP="000A4390"/>
    <w:p w14:paraId="39B26311" w14:textId="3F4C1958" w:rsidR="00560B3D" w:rsidRDefault="003B6712" w:rsidP="00560B3D">
      <w:pPr>
        <w:keepNext/>
        <w:jc w:val="center"/>
      </w:pPr>
      <w:r>
        <w:rPr>
          <w:noProof/>
          <w:sz w:val="18"/>
          <w:szCs w:val="18"/>
        </w:rPr>
        <w:drawing>
          <wp:inline distT="0" distB="0" distL="0" distR="0" wp14:anchorId="65750C86" wp14:editId="630F14EC">
            <wp:extent cx="5178569" cy="2244792"/>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yment_detailed.png"/>
                    <pic:cNvPicPr/>
                  </pic:nvPicPr>
                  <pic:blipFill>
                    <a:blip r:embed="rId14">
                      <a:extLst>
                        <a:ext uri="{28A0092B-C50C-407E-A947-70E740481C1C}">
                          <a14:useLocalDpi xmlns:a14="http://schemas.microsoft.com/office/drawing/2010/main" val="0"/>
                        </a:ext>
                      </a:extLst>
                    </a:blip>
                    <a:stretch>
                      <a:fillRect/>
                    </a:stretch>
                  </pic:blipFill>
                  <pic:spPr>
                    <a:xfrm>
                      <a:off x="0" y="0"/>
                      <a:ext cx="5175110" cy="2243292"/>
                    </a:xfrm>
                    <a:prstGeom prst="rect">
                      <a:avLst/>
                    </a:prstGeom>
                  </pic:spPr>
                </pic:pic>
              </a:graphicData>
            </a:graphic>
          </wp:inline>
        </w:drawing>
      </w:r>
    </w:p>
    <w:p w14:paraId="39B26312" w14:textId="77777777" w:rsidR="009B25BF" w:rsidRPr="004E0CA2" w:rsidRDefault="00560B3D" w:rsidP="00560B3D">
      <w:pPr>
        <w:pStyle w:val="Caption"/>
      </w:pPr>
      <w:proofErr w:type="gramStart"/>
      <w:r>
        <w:t>Fig.</w:t>
      </w:r>
      <w:proofErr w:type="gramEnd"/>
      <w:r>
        <w:t xml:space="preserve">  </w:t>
      </w:r>
      <w:fldSimple w:instr=" SEQ Fig._ \* ARABIC ">
        <w:r w:rsidR="00216DC6">
          <w:rPr>
            <w:noProof/>
          </w:rPr>
          <w:t>3</w:t>
        </w:r>
      </w:fldSimple>
      <w:r>
        <w:t xml:space="preserve"> </w:t>
      </w:r>
      <w:r w:rsidRPr="00DF087E">
        <w:t>Provider model applied to payment and billing</w:t>
      </w:r>
    </w:p>
    <w:p w14:paraId="39B26313" w14:textId="52E135EB" w:rsidR="00600D9F" w:rsidRDefault="00600D9F" w:rsidP="00600D9F">
      <w:r>
        <w:t xml:space="preserve">The main objective of this </w:t>
      </w:r>
      <w:r w:rsidR="006F3157">
        <w:t>service</w:t>
      </w:r>
      <w:r>
        <w:t xml:space="preserve"> is to </w:t>
      </w:r>
      <w:r w:rsidR="00734A43">
        <w:t xml:space="preserve">consolidate </w:t>
      </w:r>
      <w:r>
        <w:t>payment handling functionalities</w:t>
      </w:r>
      <w:r w:rsidR="006F3157">
        <w:t xml:space="preserve"> </w:t>
      </w:r>
      <w:r>
        <w:t>(e.g.: encryption, integration with Payment Service Providers, logging, authentication</w:t>
      </w:r>
      <w:r w:rsidR="006F3157">
        <w:t xml:space="preserve"> </w:t>
      </w:r>
      <w:r>
        <w:t xml:space="preserve">of Payment Service Providers, </w:t>
      </w:r>
      <w:r w:rsidR="00303E99">
        <w:t>etc.</w:t>
      </w:r>
      <w:r>
        <w:t xml:space="preserve">) </w:t>
      </w:r>
      <w:r w:rsidRPr="00652209">
        <w:t xml:space="preserve">and to release </w:t>
      </w:r>
      <w:r w:rsidR="00303E99" w:rsidRPr="00652209">
        <w:t>their provisioning to the private sector. In this way, the Government is sheltered from</w:t>
      </w:r>
      <w:r w:rsidRPr="00652209">
        <w:t xml:space="preserve"> </w:t>
      </w:r>
      <w:r w:rsidR="00303E99" w:rsidRPr="00652209">
        <w:t>the legal</w:t>
      </w:r>
      <w:r w:rsidRPr="00652209">
        <w:t xml:space="preserve"> liability due to fraud or misuse</w:t>
      </w:r>
      <w:r w:rsidR="00303E99" w:rsidRPr="00652209">
        <w:t>. This can be achieved</w:t>
      </w:r>
      <w:r w:rsidRPr="00652209">
        <w:t xml:space="preserve"> by redirecting </w:t>
      </w:r>
      <w:r w:rsidR="00303E99" w:rsidRPr="00652209">
        <w:t>citizens to</w:t>
      </w:r>
      <w:r w:rsidRPr="00652209">
        <w:t xml:space="preserve"> the </w:t>
      </w:r>
      <w:r w:rsidR="00303E99" w:rsidRPr="00652209">
        <w:t>Paym</w:t>
      </w:r>
      <w:r w:rsidR="00303E99">
        <w:t>ent Service Provider of their choice</w:t>
      </w:r>
      <w:r>
        <w:t xml:space="preserve"> </w:t>
      </w:r>
      <w:r w:rsidR="00303E99">
        <w:t xml:space="preserve">on whose website the users </w:t>
      </w:r>
      <w:r>
        <w:t>enter the financial information and submit the electronic</w:t>
      </w:r>
      <w:r w:rsidR="006F3157">
        <w:t xml:space="preserve"> </w:t>
      </w:r>
      <w:r>
        <w:t>payment form. Sensitive e-Payment-</w:t>
      </w:r>
      <w:r w:rsidR="006F3157">
        <w:t>r</w:t>
      </w:r>
      <w:r>
        <w:t>elated actions and information do not take</w:t>
      </w:r>
      <w:r w:rsidR="006F3157">
        <w:t xml:space="preserve"> </w:t>
      </w:r>
      <w:r>
        <w:t xml:space="preserve">place </w:t>
      </w:r>
      <w:r w:rsidR="00303E99">
        <w:t xml:space="preserve">on </w:t>
      </w:r>
      <w:r>
        <w:t>the Government's side.</w:t>
      </w:r>
    </w:p>
    <w:p w14:paraId="39B26314" w14:textId="07A9D83E" w:rsidR="009B25BF" w:rsidRDefault="006D730D" w:rsidP="0028126B">
      <w:r>
        <w:t>Therefore a</w:t>
      </w:r>
      <w:r w:rsidR="00961160">
        <w:t xml:space="preserve">s presented in </w:t>
      </w:r>
      <w:r w:rsidR="009B25BF" w:rsidRPr="004E0CA2">
        <w:t>th</w:t>
      </w:r>
      <w:r w:rsidR="00724B7C">
        <w:t>e</w:t>
      </w:r>
      <w:r w:rsidR="009B25BF" w:rsidRPr="004E0CA2">
        <w:t xml:space="preserve"> </w:t>
      </w:r>
      <w:proofErr w:type="spellStart"/>
      <w:r w:rsidR="009F2A90">
        <w:t>G</w:t>
      </w:r>
      <w:r w:rsidR="00303E99">
        <w:t>ePG</w:t>
      </w:r>
      <w:proofErr w:type="spellEnd"/>
      <w:r w:rsidR="00303E99">
        <w:t xml:space="preserve"> </w:t>
      </w:r>
      <w:r w:rsidR="009B25BF" w:rsidRPr="004E0CA2">
        <w:t xml:space="preserve">design, different </w:t>
      </w:r>
      <w:r w:rsidR="006B3A35">
        <w:t>Payment</w:t>
      </w:r>
      <w:r w:rsidR="009B25BF" w:rsidRPr="004E0CA2">
        <w:t xml:space="preserve"> </w:t>
      </w:r>
      <w:r w:rsidR="000A160D">
        <w:t xml:space="preserve">Service </w:t>
      </w:r>
      <w:r w:rsidR="006B3A35">
        <w:t>P</w:t>
      </w:r>
      <w:r w:rsidR="009B25BF" w:rsidRPr="004E0CA2">
        <w:t xml:space="preserve">roviders </w:t>
      </w:r>
      <w:r w:rsidR="00BC513E">
        <w:t>will</w:t>
      </w:r>
      <w:r w:rsidR="00BC513E" w:rsidRPr="004E0CA2">
        <w:t xml:space="preserve"> </w:t>
      </w:r>
      <w:r w:rsidR="009B25BF" w:rsidRPr="004E0CA2">
        <w:t xml:space="preserve">be integrated into the </w:t>
      </w:r>
      <w:r w:rsidR="000A160D">
        <w:t>s</w:t>
      </w:r>
      <w:r>
        <w:t xml:space="preserve">ystem, </w:t>
      </w:r>
      <w:r w:rsidR="00BC513E">
        <w:t xml:space="preserve">thus giving the </w:t>
      </w:r>
      <w:r w:rsidR="000A160D">
        <w:t xml:space="preserve">citizen the freedom to choose between </w:t>
      </w:r>
      <w:r w:rsidR="00BC513E">
        <w:t>Payment Service Providers</w:t>
      </w:r>
      <w:r w:rsidR="00382D99">
        <w:t xml:space="preserve"> </w:t>
      </w:r>
      <w:r w:rsidR="00BE6D6D">
        <w:t xml:space="preserve">and proceed to </w:t>
      </w:r>
      <w:r w:rsidR="000A160D">
        <w:t xml:space="preserve">specific </w:t>
      </w:r>
      <w:r w:rsidR="00BE6D6D">
        <w:t>payment authorization</w:t>
      </w:r>
      <w:r w:rsidR="006F3157">
        <w:t>.</w:t>
      </w:r>
    </w:p>
    <w:p w14:paraId="39B26316" w14:textId="77777777" w:rsidR="000A160D" w:rsidRDefault="000A160D" w:rsidP="006246FA">
      <w:pPr>
        <w:pStyle w:val="Heading2"/>
      </w:pPr>
      <w:r>
        <w:t xml:space="preserve">Typical </w:t>
      </w:r>
      <w:r w:rsidR="00D81C94">
        <w:t xml:space="preserve">online </w:t>
      </w:r>
      <w:r>
        <w:t>payment scenario</w:t>
      </w:r>
    </w:p>
    <w:p w14:paraId="39B26317" w14:textId="77777777" w:rsidR="000A160D" w:rsidRDefault="000A160D" w:rsidP="0028126B">
      <w:r>
        <w:t xml:space="preserve">The typical </w:t>
      </w:r>
      <w:r w:rsidR="003F2E97">
        <w:t xml:space="preserve">online </w:t>
      </w:r>
      <w:r>
        <w:t>payment scenario is presented in the figure below.</w:t>
      </w:r>
    </w:p>
    <w:p w14:paraId="39B26318" w14:textId="77777777" w:rsidR="003F2E97" w:rsidRDefault="003F2E97" w:rsidP="0028126B"/>
    <w:p w14:paraId="1BBF8B4A" w14:textId="4778E455" w:rsidR="00216DC6" w:rsidRDefault="00216DC6" w:rsidP="0028126B">
      <w:r>
        <w:rPr>
          <w:noProof/>
        </w:rPr>
        <w:drawing>
          <wp:inline distT="0" distB="0" distL="0" distR="0" wp14:anchorId="03DC6FE4" wp14:editId="49940478">
            <wp:extent cx="5732145" cy="2241415"/>
            <wp:effectExtent l="0" t="0" r="190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yment_detailed_scenario.png"/>
                    <pic:cNvPicPr/>
                  </pic:nvPicPr>
                  <pic:blipFill>
                    <a:blip r:embed="rId15">
                      <a:extLst>
                        <a:ext uri="{28A0092B-C50C-407E-A947-70E740481C1C}">
                          <a14:useLocalDpi xmlns:a14="http://schemas.microsoft.com/office/drawing/2010/main" val="0"/>
                        </a:ext>
                      </a:extLst>
                    </a:blip>
                    <a:stretch>
                      <a:fillRect/>
                    </a:stretch>
                  </pic:blipFill>
                  <pic:spPr>
                    <a:xfrm>
                      <a:off x="0" y="0"/>
                      <a:ext cx="5732145" cy="2241415"/>
                    </a:xfrm>
                    <a:prstGeom prst="rect">
                      <a:avLst/>
                    </a:prstGeom>
                  </pic:spPr>
                </pic:pic>
              </a:graphicData>
            </a:graphic>
          </wp:inline>
        </w:drawing>
      </w:r>
    </w:p>
    <w:p w14:paraId="1F44F070" w14:textId="6361A6D1" w:rsidR="00216DC6" w:rsidRDefault="00216DC6" w:rsidP="0028126B"/>
    <w:p w14:paraId="11E03866" w14:textId="1369E9E5" w:rsidR="00216DC6" w:rsidRPr="004E0CA2" w:rsidRDefault="00216DC6" w:rsidP="00216DC6">
      <w:pPr>
        <w:pStyle w:val="Caption"/>
      </w:pPr>
      <w:proofErr w:type="gramStart"/>
      <w:r>
        <w:t>Fig.</w:t>
      </w:r>
      <w:proofErr w:type="gramEnd"/>
      <w:r>
        <w:t xml:space="preserve">  </w:t>
      </w:r>
      <w:r w:rsidR="0058755E">
        <w:fldChar w:fldCharType="begin"/>
      </w:r>
      <w:r w:rsidR="0058755E">
        <w:instrText xml:space="preserve"> SEQ Fig._ \* ARABIC </w:instrText>
      </w:r>
      <w:r w:rsidR="0058755E">
        <w:fldChar w:fldCharType="separate"/>
      </w:r>
      <w:proofErr w:type="gramStart"/>
      <w:r>
        <w:rPr>
          <w:noProof/>
        </w:rPr>
        <w:t>4</w:t>
      </w:r>
      <w:r w:rsidR="0058755E">
        <w:rPr>
          <w:noProof/>
        </w:rPr>
        <w:fldChar w:fldCharType="end"/>
      </w:r>
      <w:r>
        <w:t xml:space="preserve"> Online payment scenario</w:t>
      </w:r>
      <w:proofErr w:type="gramEnd"/>
    </w:p>
    <w:p w14:paraId="39B2631A" w14:textId="77777777" w:rsidR="003F2E97" w:rsidRDefault="003F2E97" w:rsidP="0028126B"/>
    <w:p w14:paraId="39B2631B" w14:textId="77777777" w:rsidR="000A160D" w:rsidRDefault="000A160D" w:rsidP="0028126B">
      <w:r>
        <w:t>The activities involved in this scenario are as follows:</w:t>
      </w:r>
    </w:p>
    <w:p w14:paraId="39B2631C" w14:textId="2237F9AD" w:rsidR="003F2E97" w:rsidRDefault="00A22215" w:rsidP="003F2E97">
      <w:pPr>
        <w:pStyle w:val="ListParagraph"/>
        <w:numPr>
          <w:ilvl w:val="0"/>
          <w:numId w:val="13"/>
        </w:numPr>
      </w:pPr>
      <w:r>
        <w:lastRenderedPageBreak/>
        <w:t>The user interacts with public service provided by Ministry/Agency through a single access window, the Government to Citizen Portal</w:t>
      </w:r>
      <w:r w:rsidR="00652209">
        <w:t xml:space="preserve"> and accepts to pay by selecting “pay now” functionality of the service</w:t>
      </w:r>
      <w:r w:rsidR="003F2E97">
        <w:t>;</w:t>
      </w:r>
    </w:p>
    <w:p w14:paraId="39B2631D" w14:textId="53A40AD9" w:rsidR="009C03A2" w:rsidRDefault="00652209" w:rsidP="003F2E97">
      <w:pPr>
        <w:pStyle w:val="ListParagraph"/>
        <w:numPr>
          <w:ilvl w:val="0"/>
          <w:numId w:val="13"/>
        </w:numPr>
      </w:pPr>
      <w:r>
        <w:t>D</w:t>
      </w:r>
      <w:r w:rsidR="003F2E97">
        <w:t>ata</w:t>
      </w:r>
      <w:r>
        <w:t xml:space="preserve"> entered by user</w:t>
      </w:r>
      <w:r w:rsidR="003F2E97">
        <w:t xml:space="preserve"> </w:t>
      </w:r>
      <w:r>
        <w:t>to</w:t>
      </w:r>
      <w:r w:rsidR="003F2E97">
        <w:t xml:space="preserve"> e-service gets validated by the </w:t>
      </w:r>
      <w:r w:rsidR="00A22215">
        <w:t xml:space="preserve">public service provider </w:t>
      </w:r>
    </w:p>
    <w:p w14:paraId="39B2631E" w14:textId="7433B31C" w:rsidR="003F2E97" w:rsidRDefault="003F2E97" w:rsidP="003F2E97">
      <w:pPr>
        <w:pStyle w:val="ListParagraph"/>
        <w:numPr>
          <w:ilvl w:val="0"/>
          <w:numId w:val="13"/>
        </w:numPr>
      </w:pPr>
      <w:r>
        <w:t>e-Service redirects (sending along all the information that is required, like</w:t>
      </w:r>
      <w:r w:rsidR="009C03A2">
        <w:t xml:space="preserve"> m</w:t>
      </w:r>
      <w:r>
        <w:t xml:space="preserve">oney </w:t>
      </w:r>
      <w:r w:rsidR="009C03A2">
        <w:t>a</w:t>
      </w:r>
      <w:r>
        <w:t xml:space="preserve">mount, </w:t>
      </w:r>
      <w:r w:rsidR="009C03A2">
        <w:t>t</w:t>
      </w:r>
      <w:r>
        <w:t>ransaction</w:t>
      </w:r>
      <w:r w:rsidR="009C03A2">
        <w:t xml:space="preserve"> identifier</w:t>
      </w:r>
      <w:r>
        <w:t xml:space="preserve">, etc…) </w:t>
      </w:r>
      <w:r w:rsidR="009C03A2">
        <w:t>the user</w:t>
      </w:r>
      <w:r>
        <w:t xml:space="preserve"> to </w:t>
      </w:r>
      <w:r w:rsidR="009C03A2">
        <w:t>the e-Payment Gateway;</w:t>
      </w:r>
    </w:p>
    <w:p w14:paraId="39B2631F" w14:textId="19D96C7C" w:rsidR="009C03A2" w:rsidRDefault="009C03A2" w:rsidP="009C03A2">
      <w:pPr>
        <w:pStyle w:val="ListParagraph"/>
        <w:numPr>
          <w:ilvl w:val="0"/>
          <w:numId w:val="13"/>
        </w:numPr>
      </w:pPr>
      <w:r>
        <w:t xml:space="preserve">The </w:t>
      </w:r>
      <w:proofErr w:type="spellStart"/>
      <w:r w:rsidR="009F2A90">
        <w:t>G</w:t>
      </w:r>
      <w:r w:rsidR="00A22215">
        <w:t>ePG</w:t>
      </w:r>
      <w:proofErr w:type="spellEnd"/>
      <w:r>
        <w:t xml:space="preserve"> shows a list of available payment methods which derives from the l</w:t>
      </w:r>
      <w:r w:rsidR="00652209">
        <w:t>ist of registered PSPs (As an extension it is possible to map e-services with specific PSPs if needed);</w:t>
      </w:r>
    </w:p>
    <w:p w14:paraId="39B26321" w14:textId="69507B37" w:rsidR="009C03A2" w:rsidRDefault="003F2E97" w:rsidP="003F2E97">
      <w:pPr>
        <w:pStyle w:val="ListParagraph"/>
        <w:numPr>
          <w:ilvl w:val="0"/>
          <w:numId w:val="13"/>
        </w:numPr>
      </w:pPr>
      <w:r>
        <w:t xml:space="preserve">User </w:t>
      </w:r>
      <w:r w:rsidR="00AD2A83">
        <w:t>s</w:t>
      </w:r>
      <w:r>
        <w:t>elect</w:t>
      </w:r>
      <w:r w:rsidR="00AD2A83">
        <w:t>s</w:t>
      </w:r>
      <w:r>
        <w:t xml:space="preserve"> </w:t>
      </w:r>
      <w:r w:rsidR="00AD2A83">
        <w:t>payment</w:t>
      </w:r>
      <w:r>
        <w:t xml:space="preserve"> method and/or specific </w:t>
      </w:r>
      <w:r w:rsidR="00AD2A83">
        <w:t xml:space="preserve">payment provider </w:t>
      </w:r>
      <w:r>
        <w:t>and clicks OK</w:t>
      </w:r>
      <w:r w:rsidR="009C03A2">
        <w:t>;</w:t>
      </w:r>
    </w:p>
    <w:p w14:paraId="39B26322" w14:textId="4523A019" w:rsidR="009C03A2" w:rsidRDefault="003F2E97" w:rsidP="003F2E97">
      <w:pPr>
        <w:pStyle w:val="ListParagraph"/>
        <w:numPr>
          <w:ilvl w:val="0"/>
          <w:numId w:val="13"/>
        </w:numPr>
      </w:pPr>
      <w:r>
        <w:t xml:space="preserve">The </w:t>
      </w:r>
      <w:proofErr w:type="spellStart"/>
      <w:r w:rsidR="009F2A90">
        <w:t>G</w:t>
      </w:r>
      <w:r w:rsidR="009C03A2">
        <w:t>ePG</w:t>
      </w:r>
      <w:proofErr w:type="spellEnd"/>
      <w:r>
        <w:t xml:space="preserve"> appends some variables for tracking </w:t>
      </w:r>
      <w:r w:rsidR="00664A92">
        <w:t>the payment transaction such as</w:t>
      </w:r>
      <w:r w:rsidR="00652209">
        <w:t xml:space="preserve"> </w:t>
      </w:r>
      <w:r>
        <w:t>Callback Address,</w:t>
      </w:r>
      <w:r w:rsidR="009C03A2">
        <w:t xml:space="preserve"> </w:t>
      </w:r>
      <w:r>
        <w:t>Timestamp, Trans-ID, etc</w:t>
      </w:r>
      <w:r w:rsidR="00652209">
        <w:t>.</w:t>
      </w:r>
      <w:r>
        <w:t>)</w:t>
      </w:r>
      <w:r w:rsidR="009C03A2">
        <w:t>;</w:t>
      </w:r>
    </w:p>
    <w:p w14:paraId="39B26323" w14:textId="02C1AAC3" w:rsidR="009C03A2" w:rsidRDefault="003F2E97" w:rsidP="003F2E97">
      <w:pPr>
        <w:pStyle w:val="ListParagraph"/>
        <w:numPr>
          <w:ilvl w:val="0"/>
          <w:numId w:val="13"/>
        </w:numPr>
      </w:pPr>
      <w:r>
        <w:t xml:space="preserve">The </w:t>
      </w:r>
      <w:proofErr w:type="spellStart"/>
      <w:r w:rsidR="009F2A90">
        <w:t>G</w:t>
      </w:r>
      <w:r w:rsidR="009C03A2">
        <w:t>ePG</w:t>
      </w:r>
      <w:proofErr w:type="spellEnd"/>
      <w:r>
        <w:t xml:space="preserve"> creates and ciphers the </w:t>
      </w:r>
      <w:r w:rsidR="00652209">
        <w:t>r</w:t>
      </w:r>
      <w:r>
        <w:t>edirection</w:t>
      </w:r>
      <w:r w:rsidR="00652209">
        <w:t xml:space="preserve"> s</w:t>
      </w:r>
      <w:r>
        <w:t>tring</w:t>
      </w:r>
      <w:r w:rsidR="009C03A2">
        <w:t>;</w:t>
      </w:r>
    </w:p>
    <w:p w14:paraId="39B26324" w14:textId="5AC0BFD9" w:rsidR="00A4252E" w:rsidRDefault="003F2E97" w:rsidP="003F2E97">
      <w:pPr>
        <w:pStyle w:val="ListParagraph"/>
        <w:numPr>
          <w:ilvl w:val="0"/>
          <w:numId w:val="13"/>
        </w:numPr>
      </w:pPr>
      <w:r>
        <w:t xml:space="preserve">The </w:t>
      </w:r>
      <w:proofErr w:type="spellStart"/>
      <w:r w:rsidR="009F2A90">
        <w:t>G</w:t>
      </w:r>
      <w:r w:rsidR="009C03A2">
        <w:t>ePG</w:t>
      </w:r>
      <w:proofErr w:type="spellEnd"/>
      <w:r>
        <w:t xml:space="preserve"> logs the transaction</w:t>
      </w:r>
      <w:r w:rsidR="00A4252E">
        <w:t>;</w:t>
      </w:r>
    </w:p>
    <w:p w14:paraId="39B26325" w14:textId="2F8CCCD7" w:rsidR="00A4252E" w:rsidRDefault="003F2E97" w:rsidP="003F2E97">
      <w:pPr>
        <w:pStyle w:val="ListParagraph"/>
        <w:numPr>
          <w:ilvl w:val="0"/>
          <w:numId w:val="13"/>
        </w:numPr>
      </w:pPr>
      <w:r>
        <w:t xml:space="preserve">The </w:t>
      </w:r>
      <w:proofErr w:type="spellStart"/>
      <w:r w:rsidR="009F2A90">
        <w:t>G</w:t>
      </w:r>
      <w:r w:rsidR="00A22215">
        <w:t>ePG</w:t>
      </w:r>
      <w:proofErr w:type="spellEnd"/>
      <w:r>
        <w:t xml:space="preserve"> redirects </w:t>
      </w:r>
      <w:r w:rsidR="00A4252E">
        <w:t>the</w:t>
      </w:r>
      <w:r>
        <w:t xml:space="preserve"> </w:t>
      </w:r>
      <w:r w:rsidR="00A4252E">
        <w:t>u</w:t>
      </w:r>
      <w:r>
        <w:t xml:space="preserve">ser to </w:t>
      </w:r>
      <w:r w:rsidR="00A4252E">
        <w:t xml:space="preserve">the user’s preferred </w:t>
      </w:r>
      <w:r>
        <w:t>PSP</w:t>
      </w:r>
      <w:r w:rsidR="00A22215">
        <w:t xml:space="preserve"> website</w:t>
      </w:r>
      <w:r w:rsidR="00A4252E">
        <w:t>;</w:t>
      </w:r>
    </w:p>
    <w:p w14:paraId="39B26326" w14:textId="77777777" w:rsidR="00A4252E" w:rsidRDefault="00A4252E" w:rsidP="003F2E97">
      <w:pPr>
        <w:pStyle w:val="ListParagraph"/>
        <w:numPr>
          <w:ilvl w:val="0"/>
          <w:numId w:val="13"/>
        </w:numPr>
      </w:pPr>
      <w:r>
        <w:t>The u</w:t>
      </w:r>
      <w:r w:rsidR="003F2E97">
        <w:t xml:space="preserve">ser </w:t>
      </w:r>
      <w:r>
        <w:t xml:space="preserve">lands on PSP secure payment authorization page and </w:t>
      </w:r>
      <w:r w:rsidR="003F2E97">
        <w:t>carries on the transaction successfully</w:t>
      </w:r>
      <w:r>
        <w:t>;</w:t>
      </w:r>
    </w:p>
    <w:p w14:paraId="39B26327" w14:textId="77777777" w:rsidR="00A4252E" w:rsidRDefault="003F2E97" w:rsidP="003F2E97">
      <w:pPr>
        <w:pStyle w:val="ListParagraph"/>
        <w:numPr>
          <w:ilvl w:val="0"/>
          <w:numId w:val="13"/>
        </w:numPr>
      </w:pPr>
      <w:r>
        <w:t xml:space="preserve">Transaction gets successfully processed by </w:t>
      </w:r>
      <w:r w:rsidR="00A4252E">
        <w:t xml:space="preserve">the </w:t>
      </w:r>
      <w:r>
        <w:t>PSP</w:t>
      </w:r>
      <w:r w:rsidR="00A4252E">
        <w:t>’s</w:t>
      </w:r>
      <w:r>
        <w:t xml:space="preserve"> backend systems</w:t>
      </w:r>
      <w:r w:rsidR="00A4252E">
        <w:t>;</w:t>
      </w:r>
    </w:p>
    <w:p w14:paraId="39B26328" w14:textId="479B18E4" w:rsidR="00A4252E" w:rsidRDefault="00A4252E" w:rsidP="003F2E97">
      <w:pPr>
        <w:pStyle w:val="ListParagraph"/>
        <w:numPr>
          <w:ilvl w:val="0"/>
          <w:numId w:val="13"/>
        </w:numPr>
      </w:pPr>
      <w:r>
        <w:t xml:space="preserve">The </w:t>
      </w:r>
      <w:r w:rsidR="003F2E97">
        <w:t xml:space="preserve">PSP updates </w:t>
      </w:r>
      <w:r>
        <w:t>the u</w:t>
      </w:r>
      <w:r w:rsidR="003F2E97">
        <w:t xml:space="preserve">ser of the </w:t>
      </w:r>
      <w:r>
        <w:t>p</w:t>
      </w:r>
      <w:r w:rsidR="003F2E97">
        <w:t xml:space="preserve">ayment </w:t>
      </w:r>
      <w:r>
        <w:t>s</w:t>
      </w:r>
      <w:r w:rsidR="003F2E97">
        <w:t xml:space="preserve">tatus and </w:t>
      </w:r>
      <w:r>
        <w:t>r</w:t>
      </w:r>
      <w:r w:rsidR="003F2E97">
        <w:t>edirects him/her back</w:t>
      </w:r>
      <w:r>
        <w:t xml:space="preserve"> </w:t>
      </w:r>
      <w:r w:rsidR="003F2E97">
        <w:t xml:space="preserve">to the </w:t>
      </w:r>
      <w:proofErr w:type="spellStart"/>
      <w:r w:rsidR="009F2A90">
        <w:t>G</w:t>
      </w:r>
      <w:r>
        <w:t>ePG</w:t>
      </w:r>
      <w:proofErr w:type="spellEnd"/>
      <w:r>
        <w:t>;</w:t>
      </w:r>
    </w:p>
    <w:p w14:paraId="39B26329" w14:textId="2416B2EE" w:rsidR="00A4252E" w:rsidRDefault="00A4252E" w:rsidP="003F2E97">
      <w:pPr>
        <w:pStyle w:val="ListParagraph"/>
        <w:numPr>
          <w:ilvl w:val="0"/>
          <w:numId w:val="13"/>
        </w:numPr>
      </w:pPr>
      <w:r>
        <w:t>The u</w:t>
      </w:r>
      <w:r w:rsidR="003F2E97">
        <w:t>ser</w:t>
      </w:r>
      <w:r>
        <w:t>’</w:t>
      </w:r>
      <w:r w:rsidR="003F2E97">
        <w:t xml:space="preserve">s browser passes the transaction status to the </w:t>
      </w:r>
      <w:proofErr w:type="spellStart"/>
      <w:r w:rsidR="009F2A90">
        <w:t>G</w:t>
      </w:r>
      <w:r>
        <w:t>ePG</w:t>
      </w:r>
      <w:proofErr w:type="spellEnd"/>
      <w:r>
        <w:t>;</w:t>
      </w:r>
    </w:p>
    <w:p w14:paraId="39B2632A" w14:textId="15DB0E9C" w:rsidR="005A6EC6" w:rsidRDefault="003F2E97" w:rsidP="003F2E97">
      <w:pPr>
        <w:pStyle w:val="ListParagraph"/>
        <w:numPr>
          <w:ilvl w:val="0"/>
          <w:numId w:val="13"/>
        </w:numPr>
      </w:pPr>
      <w:r>
        <w:t xml:space="preserve">The </w:t>
      </w:r>
      <w:proofErr w:type="spellStart"/>
      <w:r w:rsidR="009F2A90">
        <w:t>G</w:t>
      </w:r>
      <w:r w:rsidR="00A4252E">
        <w:t>ePG</w:t>
      </w:r>
      <w:proofErr w:type="spellEnd"/>
      <w:r>
        <w:t xml:space="preserve"> deciphers the string</w:t>
      </w:r>
      <w:r w:rsidR="00A4252E">
        <w:t>;</w:t>
      </w:r>
    </w:p>
    <w:p w14:paraId="39B2632B" w14:textId="0FCC285A" w:rsidR="005A6EC6" w:rsidRDefault="003F2E97" w:rsidP="003F2E97">
      <w:pPr>
        <w:pStyle w:val="ListParagraph"/>
        <w:numPr>
          <w:ilvl w:val="0"/>
          <w:numId w:val="13"/>
        </w:numPr>
      </w:pPr>
      <w:r>
        <w:t xml:space="preserve">The </w:t>
      </w:r>
      <w:proofErr w:type="spellStart"/>
      <w:r w:rsidR="009F2A90">
        <w:t>G</w:t>
      </w:r>
      <w:r w:rsidR="005A6EC6">
        <w:t>ePG</w:t>
      </w:r>
      <w:proofErr w:type="spellEnd"/>
      <w:r w:rsidR="005A6EC6">
        <w:t xml:space="preserve"> </w:t>
      </w:r>
      <w:r>
        <w:t>logs the transaction indicating its source.</w:t>
      </w:r>
    </w:p>
    <w:p w14:paraId="39B2632C" w14:textId="2634C895" w:rsidR="003F2E97" w:rsidRDefault="00747ABF" w:rsidP="003F2E97">
      <w:pPr>
        <w:pStyle w:val="ListParagraph"/>
        <w:numPr>
          <w:ilvl w:val="0"/>
          <w:numId w:val="13"/>
        </w:numPr>
      </w:pPr>
      <w:r>
        <w:t xml:space="preserve">The </w:t>
      </w:r>
      <w:proofErr w:type="spellStart"/>
      <w:r w:rsidR="009F2A90">
        <w:t>G</w:t>
      </w:r>
      <w:r>
        <w:t>ePG</w:t>
      </w:r>
      <w:proofErr w:type="spellEnd"/>
      <w:r>
        <w:t xml:space="preserve"> </w:t>
      </w:r>
      <w:r w:rsidR="003F2E97">
        <w:t xml:space="preserve">sends the final result back encrypted to the </w:t>
      </w:r>
      <w:r>
        <w:t>Government Service Provider</w:t>
      </w:r>
      <w:r w:rsidR="003F2E97">
        <w:t xml:space="preserve"> (including </w:t>
      </w:r>
      <w:r w:rsidR="005A6EC6">
        <w:t>transaction’s contextual information</w:t>
      </w:r>
      <w:r w:rsidR="003F2E97">
        <w:t xml:space="preserve">) with its private key, while redirecting the </w:t>
      </w:r>
      <w:r w:rsidR="005A6EC6">
        <w:t>u</w:t>
      </w:r>
      <w:r w:rsidR="003F2E97">
        <w:t>ser back to the e-</w:t>
      </w:r>
      <w:r w:rsidR="005A6EC6">
        <w:t>s</w:t>
      </w:r>
      <w:r w:rsidR="003F2E97">
        <w:t>ervice</w:t>
      </w:r>
      <w:r w:rsidR="005A6EC6">
        <w:t xml:space="preserve"> application</w:t>
      </w:r>
      <w:r>
        <w:t xml:space="preserve"> from the Government Portal</w:t>
      </w:r>
      <w:r w:rsidR="005A6EC6">
        <w:t>.</w:t>
      </w:r>
    </w:p>
    <w:p w14:paraId="39B2632D" w14:textId="77777777" w:rsidR="00D81C94" w:rsidRDefault="00D81C94" w:rsidP="00D81C94">
      <w:pPr>
        <w:pStyle w:val="Heading2"/>
      </w:pPr>
      <w:r>
        <w:t>Risk control</w:t>
      </w:r>
    </w:p>
    <w:p w14:paraId="39B2632E" w14:textId="77777777" w:rsidR="00D81C94" w:rsidRPr="00652209" w:rsidRDefault="00D81C94" w:rsidP="00D81C94">
      <w:r w:rsidRPr="00652209">
        <w:t xml:space="preserve">Risk is controlled by allowing PSP to authorize a configurable sum of money and subsequently clearing it. </w:t>
      </w:r>
    </w:p>
    <w:p w14:paraId="39B2632F" w14:textId="77777777" w:rsidR="00C842CA" w:rsidRPr="00652209" w:rsidRDefault="00D81C94" w:rsidP="00D81C94">
      <w:r w:rsidRPr="00652209">
        <w:t>The clearance process takes two steps:</w:t>
      </w:r>
    </w:p>
    <w:p w14:paraId="39B26330" w14:textId="51FFC555" w:rsidR="00D81C94" w:rsidRPr="00652209" w:rsidRDefault="00747ABF" w:rsidP="00C842CA">
      <w:pPr>
        <w:pStyle w:val="ListParagraph"/>
        <w:numPr>
          <w:ilvl w:val="0"/>
          <w:numId w:val="14"/>
        </w:numPr>
      </w:pPr>
      <w:r w:rsidRPr="00652209">
        <w:t>T</w:t>
      </w:r>
      <w:r w:rsidR="00D81C94" w:rsidRPr="00652209">
        <w:t xml:space="preserve">he PSP notifies </w:t>
      </w:r>
      <w:proofErr w:type="spellStart"/>
      <w:r w:rsidR="009F2A90">
        <w:t>G</w:t>
      </w:r>
      <w:r w:rsidR="00D81C94" w:rsidRPr="00652209">
        <w:t>ePG</w:t>
      </w:r>
      <w:proofErr w:type="spellEnd"/>
      <w:r w:rsidR="00D81C94" w:rsidRPr="00652209">
        <w:t xml:space="preserve"> when it instructs its bank to wire funds into Service Providers</w:t>
      </w:r>
      <w:r w:rsidRPr="00652209">
        <w:t>’</w:t>
      </w:r>
      <w:r w:rsidR="00D81C94" w:rsidRPr="00652209">
        <w:t xml:space="preserve"> accounts and </w:t>
      </w:r>
    </w:p>
    <w:p w14:paraId="39B26331" w14:textId="5C423979" w:rsidR="00D81C94" w:rsidRPr="00652209" w:rsidRDefault="00D81C94" w:rsidP="00C842CA">
      <w:pPr>
        <w:pStyle w:val="ListParagraph"/>
        <w:numPr>
          <w:ilvl w:val="0"/>
          <w:numId w:val="14"/>
        </w:numPr>
      </w:pPr>
      <w:r w:rsidRPr="00652209">
        <w:t xml:space="preserve">Service Providers notify </w:t>
      </w:r>
      <w:proofErr w:type="spellStart"/>
      <w:r w:rsidR="009F2A90">
        <w:t>G</w:t>
      </w:r>
      <w:r w:rsidRPr="00652209">
        <w:t>ePG</w:t>
      </w:r>
      <w:proofErr w:type="spellEnd"/>
      <w:r w:rsidRPr="00652209">
        <w:t xml:space="preserve"> when they get confirmation about funds reaching their account from their Bank.</w:t>
      </w:r>
    </w:p>
    <w:p w14:paraId="39B26332" w14:textId="77777777" w:rsidR="00D81C94" w:rsidRPr="00714327" w:rsidRDefault="00D81C94" w:rsidP="00D81C94">
      <w:r w:rsidRPr="00652209">
        <w:t>When the amount of authorized but not cleared funds reaches specific thresholds notifications will be distributed and subsequently barring will take place, meaning that the PSP could not be eligible for next payment transactions.</w:t>
      </w:r>
    </w:p>
    <w:p w14:paraId="39B26334" w14:textId="77777777" w:rsidR="007B51F6" w:rsidRDefault="007B51F6" w:rsidP="00C842CA">
      <w:pPr>
        <w:pStyle w:val="Heading2"/>
      </w:pPr>
      <w:proofErr w:type="gramStart"/>
      <w:r>
        <w:t>e-Service</w:t>
      </w:r>
      <w:proofErr w:type="gramEnd"/>
      <w:r>
        <w:t xml:space="preserve"> Providers</w:t>
      </w:r>
    </w:p>
    <w:p w14:paraId="39B26335" w14:textId="73A3D0DD" w:rsidR="007B51F6" w:rsidRDefault="00724B2E" w:rsidP="0028126B">
      <w:r>
        <w:t xml:space="preserve">According to e-government strategy and architecture, primary service providers are </w:t>
      </w:r>
      <w:r w:rsidR="00747ABF">
        <w:t>Public A</w:t>
      </w:r>
      <w:r>
        <w:t xml:space="preserve">uthorities. They will develop the sectorial e-services and will expose them through </w:t>
      </w:r>
      <w:r w:rsidR="00747ABF">
        <w:t xml:space="preserve">the </w:t>
      </w:r>
      <w:r>
        <w:t>national G4C/G4B portal.</w:t>
      </w:r>
      <w:r w:rsidR="007C0E15">
        <w:t xml:space="preserve"> The services which will perceive some fees will use </w:t>
      </w:r>
      <w:r w:rsidR="00747ABF">
        <w:t xml:space="preserve">the </w:t>
      </w:r>
      <w:proofErr w:type="spellStart"/>
      <w:r w:rsidR="009F2A90">
        <w:t>G</w:t>
      </w:r>
      <w:r w:rsidR="00747ABF">
        <w:t>ePG</w:t>
      </w:r>
      <w:proofErr w:type="spellEnd"/>
      <w:r w:rsidR="00747ABF">
        <w:t xml:space="preserve"> module</w:t>
      </w:r>
      <w:r w:rsidR="007C0E15">
        <w:t>.</w:t>
      </w:r>
    </w:p>
    <w:p w14:paraId="39B26336" w14:textId="3CCE0266" w:rsidR="007C0E15" w:rsidRDefault="007C0E15" w:rsidP="0028126B">
      <w:r>
        <w:lastRenderedPageBreak/>
        <w:t xml:space="preserve">Although the </w:t>
      </w:r>
      <w:proofErr w:type="spellStart"/>
      <w:r w:rsidR="009F2A90">
        <w:t>G</w:t>
      </w:r>
      <w:r>
        <w:t>ePG</w:t>
      </w:r>
      <w:proofErr w:type="spellEnd"/>
      <w:r>
        <w:t xml:space="preserve"> is primarily designed for the public sector, it could be widely used by private companies in their e-commerce scenarios.</w:t>
      </w:r>
    </w:p>
    <w:p w14:paraId="39B26337" w14:textId="77777777" w:rsidR="00B54E9D" w:rsidRDefault="00B54E9D" w:rsidP="0028126B">
      <w:r>
        <w:t xml:space="preserve">The envisioned procedure of enrollment for service providers is as follows: </w:t>
      </w:r>
    </w:p>
    <w:p w14:paraId="39B26338" w14:textId="64B53F6A" w:rsidR="00B54E9D" w:rsidRDefault="00B54E9D" w:rsidP="00B54E9D">
      <w:pPr>
        <w:pStyle w:val="ListParagraph"/>
        <w:numPr>
          <w:ilvl w:val="0"/>
          <w:numId w:val="15"/>
        </w:numPr>
      </w:pPr>
      <w:r>
        <w:t xml:space="preserve">The service provider (government or private) should submit a letter introducing its business and expressing an interest in joining the national </w:t>
      </w:r>
      <w:proofErr w:type="spellStart"/>
      <w:r w:rsidR="009F2A90">
        <w:t>G</w:t>
      </w:r>
      <w:r w:rsidR="00747ABF">
        <w:t>ePG</w:t>
      </w:r>
      <w:proofErr w:type="spellEnd"/>
      <w:r w:rsidR="00221122">
        <w:t>;</w:t>
      </w:r>
    </w:p>
    <w:p w14:paraId="39B26339" w14:textId="79DCDEB9" w:rsidR="00B54E9D" w:rsidRDefault="00B54E9D" w:rsidP="00B54E9D">
      <w:pPr>
        <w:pStyle w:val="ListParagraph"/>
        <w:numPr>
          <w:ilvl w:val="0"/>
          <w:numId w:val="15"/>
        </w:numPr>
      </w:pPr>
      <w:proofErr w:type="spellStart"/>
      <w:r>
        <w:t>eGC</w:t>
      </w:r>
      <w:proofErr w:type="spellEnd"/>
      <w:r>
        <w:t xml:space="preserve"> will provide introduction materials </w:t>
      </w:r>
      <w:r w:rsidR="00221122">
        <w:t>to the service provider;</w:t>
      </w:r>
    </w:p>
    <w:p w14:paraId="39B2633C" w14:textId="635DC018" w:rsidR="00ED162C" w:rsidRPr="00ED162C" w:rsidRDefault="008B1F8C" w:rsidP="00B35A2C">
      <w:pPr>
        <w:pStyle w:val="ListParagraph"/>
        <w:numPr>
          <w:ilvl w:val="0"/>
          <w:numId w:val="15"/>
        </w:numPr>
      </w:pPr>
      <w:r>
        <w:t>Service provider</w:t>
      </w:r>
      <w:r w:rsidR="00B54E9D">
        <w:t xml:space="preserve"> has to sign </w:t>
      </w:r>
      <w:r w:rsidR="00B35A2C">
        <w:t>some</w:t>
      </w:r>
      <w:r w:rsidR="00B54E9D">
        <w:t xml:space="preserve"> agreements to complete the membership to the gateway</w:t>
      </w:r>
      <w:r w:rsidR="00221122">
        <w:t>;</w:t>
      </w:r>
    </w:p>
    <w:p w14:paraId="39B2633D" w14:textId="463EE62F" w:rsidR="00B54E9D" w:rsidRPr="00ED162C" w:rsidRDefault="00ED162C" w:rsidP="008B1F8C">
      <w:pPr>
        <w:pStyle w:val="ListParagraph"/>
        <w:numPr>
          <w:ilvl w:val="0"/>
          <w:numId w:val="15"/>
        </w:numPr>
      </w:pPr>
      <w:proofErr w:type="spellStart"/>
      <w:proofErr w:type="gramStart"/>
      <w:r w:rsidRPr="00ED162C">
        <w:t>eGC</w:t>
      </w:r>
      <w:proofErr w:type="spellEnd"/>
      <w:proofErr w:type="gramEnd"/>
      <w:r w:rsidR="00B54E9D" w:rsidRPr="00ED162C">
        <w:t xml:space="preserve"> will switch </w:t>
      </w:r>
      <w:r w:rsidRPr="00ED162C">
        <w:t>service provider</w:t>
      </w:r>
      <w:r w:rsidR="00B54E9D" w:rsidRPr="00ED162C">
        <w:t xml:space="preserve"> to production mode of the </w:t>
      </w:r>
      <w:proofErr w:type="spellStart"/>
      <w:r w:rsidR="009F2A90">
        <w:t>G</w:t>
      </w:r>
      <w:r w:rsidRPr="00ED162C">
        <w:t>ePG</w:t>
      </w:r>
      <w:proofErr w:type="spellEnd"/>
      <w:r w:rsidR="00B54E9D" w:rsidRPr="00ED162C">
        <w:t xml:space="preserve"> after completion of </w:t>
      </w:r>
      <w:r w:rsidRPr="00ED162C">
        <w:t>m</w:t>
      </w:r>
      <w:r w:rsidR="00B54E9D" w:rsidRPr="00ED162C">
        <w:t xml:space="preserve">andatory test </w:t>
      </w:r>
      <w:r w:rsidRPr="00ED162C">
        <w:t>cases</w:t>
      </w:r>
      <w:r w:rsidR="00B54E9D" w:rsidRPr="00ED162C">
        <w:t>.</w:t>
      </w:r>
    </w:p>
    <w:p w14:paraId="39B2633E" w14:textId="77777777" w:rsidR="00D81C94" w:rsidRDefault="00D81C94" w:rsidP="00B54E9D">
      <w:pPr>
        <w:pStyle w:val="Heading2"/>
      </w:pPr>
      <w:r>
        <w:t>Payment Service Providers</w:t>
      </w:r>
      <w:r w:rsidR="000F711E">
        <w:t xml:space="preserve"> (PSP)</w:t>
      </w:r>
    </w:p>
    <w:p w14:paraId="39B2633F" w14:textId="77777777" w:rsidR="007B51F6" w:rsidRDefault="007C0E15" w:rsidP="0028126B">
      <w:r>
        <w:t>PSPs are economic agents, primarily financial institutions which activate according to local and international regulations.</w:t>
      </w:r>
      <w:r w:rsidR="00B54E9D">
        <w:t xml:space="preserve"> In order to integrate into the governmental electronic payment infrastructure they will have to sign a contract of payment service provision with Government.</w:t>
      </w:r>
    </w:p>
    <w:p w14:paraId="39B26340" w14:textId="77777777" w:rsidR="000F711E" w:rsidRDefault="000F711E" w:rsidP="000F711E">
      <w:r>
        <w:t xml:space="preserve">The envisioned procedure of enrollment for PSP is as follows: </w:t>
      </w:r>
    </w:p>
    <w:p w14:paraId="39B26341" w14:textId="115B34B0" w:rsidR="000F711E" w:rsidRDefault="000F711E" w:rsidP="000F711E">
      <w:pPr>
        <w:pStyle w:val="ListParagraph"/>
        <w:numPr>
          <w:ilvl w:val="0"/>
          <w:numId w:val="17"/>
        </w:numPr>
      </w:pPr>
      <w:r>
        <w:t xml:space="preserve">The PSP should submit a letter introducing its business </w:t>
      </w:r>
      <w:r w:rsidR="0013379C">
        <w:t xml:space="preserve">in a typical form </w:t>
      </w:r>
      <w:r>
        <w:t>and expressing an interest in joining the na</w:t>
      </w:r>
      <w:r w:rsidR="00221122">
        <w:t>tional e-Payment infrastructure;</w:t>
      </w:r>
    </w:p>
    <w:p w14:paraId="39B26342" w14:textId="3B8ED5D8" w:rsidR="000F711E" w:rsidRDefault="000F711E" w:rsidP="000F711E">
      <w:pPr>
        <w:pStyle w:val="ListParagraph"/>
        <w:numPr>
          <w:ilvl w:val="0"/>
          <w:numId w:val="17"/>
        </w:numPr>
      </w:pPr>
      <w:proofErr w:type="spellStart"/>
      <w:r>
        <w:t>eGC</w:t>
      </w:r>
      <w:proofErr w:type="spellEnd"/>
      <w:r>
        <w:t xml:space="preserve"> will provide in</w:t>
      </w:r>
      <w:r w:rsidR="00221122">
        <w:t>troduction materials to the PSP;</w:t>
      </w:r>
    </w:p>
    <w:p w14:paraId="39B26343" w14:textId="53DD0A9E" w:rsidR="000F711E" w:rsidRDefault="000F711E" w:rsidP="000F711E">
      <w:pPr>
        <w:pStyle w:val="ListParagraph"/>
        <w:numPr>
          <w:ilvl w:val="0"/>
          <w:numId w:val="17"/>
        </w:numPr>
      </w:pPr>
      <w:r>
        <w:t xml:space="preserve">Service provider has to sign </w:t>
      </w:r>
      <w:r w:rsidR="00221122">
        <w:t>some</w:t>
      </w:r>
      <w:r>
        <w:t xml:space="preserve"> agreements</w:t>
      </w:r>
      <w:r w:rsidR="00221122">
        <w:t xml:space="preserve"> (like NDA, membership agreement etc.)</w:t>
      </w:r>
      <w:r>
        <w:t xml:space="preserve"> to complete the member</w:t>
      </w:r>
      <w:r w:rsidR="00221122">
        <w:t>ship to the gateway;</w:t>
      </w:r>
    </w:p>
    <w:p w14:paraId="39B26346" w14:textId="76117ED3" w:rsidR="000F711E" w:rsidRPr="00ED162C" w:rsidRDefault="000F711E" w:rsidP="000F711E">
      <w:pPr>
        <w:pStyle w:val="ListParagraph"/>
        <w:numPr>
          <w:ilvl w:val="0"/>
          <w:numId w:val="17"/>
        </w:numPr>
      </w:pPr>
      <w:proofErr w:type="spellStart"/>
      <w:proofErr w:type="gramStart"/>
      <w:r w:rsidRPr="00ED162C">
        <w:t>eGC</w:t>
      </w:r>
      <w:proofErr w:type="spellEnd"/>
      <w:proofErr w:type="gramEnd"/>
      <w:r w:rsidRPr="00ED162C">
        <w:t xml:space="preserve"> will switch </w:t>
      </w:r>
      <w:r w:rsidR="00646170">
        <w:t>PSP</w:t>
      </w:r>
      <w:r w:rsidRPr="00ED162C">
        <w:t xml:space="preserve"> to production mode of the </w:t>
      </w:r>
      <w:proofErr w:type="spellStart"/>
      <w:r w:rsidR="009F2A90">
        <w:t>G</w:t>
      </w:r>
      <w:r w:rsidRPr="00ED162C">
        <w:t>ePG</w:t>
      </w:r>
      <w:proofErr w:type="spellEnd"/>
      <w:r w:rsidRPr="00ED162C">
        <w:t xml:space="preserve"> after completion of mandatory test cases.</w:t>
      </w:r>
    </w:p>
    <w:p w14:paraId="39B26348" w14:textId="77777777" w:rsidR="00724B2E" w:rsidRDefault="00724B2E" w:rsidP="00724B2E">
      <w:pPr>
        <w:pStyle w:val="Heading2"/>
      </w:pPr>
      <w:r>
        <w:t>Accessibility</w:t>
      </w:r>
    </w:p>
    <w:p w14:paraId="39B26349" w14:textId="37B04D4B" w:rsidR="00724B2E" w:rsidRDefault="0066229E" w:rsidP="00724B2E">
      <w:r>
        <w:t xml:space="preserve">The </w:t>
      </w:r>
      <w:proofErr w:type="spellStart"/>
      <w:r w:rsidR="009F2A90">
        <w:t>G</w:t>
      </w:r>
      <w:r>
        <w:t>ePG</w:t>
      </w:r>
      <w:proofErr w:type="spellEnd"/>
      <w:r>
        <w:t xml:space="preserve"> shall be accessible through the same delivery channels as the originating e-service. In other words, if the user is accessing a payable e-service through a mobile device, then the </w:t>
      </w:r>
      <w:proofErr w:type="spellStart"/>
      <w:r w:rsidR="009F2A90">
        <w:t>G</w:t>
      </w:r>
      <w:r>
        <w:t>ePG</w:t>
      </w:r>
      <w:proofErr w:type="spellEnd"/>
      <w:r>
        <w:t xml:space="preserve"> </w:t>
      </w:r>
      <w:r w:rsidR="0041035E">
        <w:t>should offer its functionality (page listing payment options, confirmation pages etc.) through the same mobile channel.</w:t>
      </w:r>
    </w:p>
    <w:p w14:paraId="1BB5E392" w14:textId="0191FA49" w:rsidR="0041035E" w:rsidRDefault="0041035E" w:rsidP="00724B2E">
      <w:r>
        <w:t xml:space="preserve">The interface of the </w:t>
      </w:r>
      <w:proofErr w:type="spellStart"/>
      <w:r w:rsidR="009F2A90">
        <w:t>G</w:t>
      </w:r>
      <w:r>
        <w:t>ePG</w:t>
      </w:r>
      <w:proofErr w:type="spellEnd"/>
      <w:r>
        <w:t xml:space="preserve"> shall be very intuitive and informative.</w:t>
      </w:r>
    </w:p>
    <w:p w14:paraId="6DEA670E" w14:textId="0C9DCC79" w:rsidR="00F811B7" w:rsidRPr="00724B2E" w:rsidRDefault="00F811B7" w:rsidP="00724B2E">
      <w:r>
        <w:t xml:space="preserve">Along with regular interfaces </w:t>
      </w:r>
      <w:r>
        <w:t>(web, mobile)</w:t>
      </w:r>
      <w:r>
        <w:t xml:space="preserve">, </w:t>
      </w:r>
      <w:proofErr w:type="spellStart"/>
      <w:r>
        <w:t>GePG</w:t>
      </w:r>
      <w:proofErr w:type="spellEnd"/>
      <w:r>
        <w:t xml:space="preserve"> will offer APIs for its core functionality, however full support for online payment scenarios mainly depends on PSPs.</w:t>
      </w:r>
    </w:p>
    <w:p w14:paraId="39B2634A" w14:textId="77777777" w:rsidR="007B51F6" w:rsidRDefault="007B51F6" w:rsidP="00724B2E">
      <w:pPr>
        <w:pStyle w:val="Heading2"/>
      </w:pPr>
      <w:r>
        <w:t>Information Security</w:t>
      </w:r>
    </w:p>
    <w:p w14:paraId="39B2634C" w14:textId="7BC30DF6" w:rsidR="007B51F6" w:rsidRDefault="00CC18A7" w:rsidP="007B51F6">
      <w:r>
        <w:t xml:space="preserve">Although </w:t>
      </w:r>
      <w:proofErr w:type="spellStart"/>
      <w:r w:rsidR="009F2A90">
        <w:t>G</w:t>
      </w:r>
      <w:r>
        <w:t>ePG</w:t>
      </w:r>
      <w:proofErr w:type="spellEnd"/>
      <w:r>
        <w:t xml:space="preserve"> itself does not perform proper funds transfer and only redirects user’s to a preferred PSP, its design</w:t>
      </w:r>
      <w:r w:rsidR="007B51F6" w:rsidRPr="0053668B">
        <w:t xml:space="preserve"> </w:t>
      </w:r>
      <w:r>
        <w:t xml:space="preserve">must </w:t>
      </w:r>
      <w:r w:rsidR="007B51F6" w:rsidRPr="0053668B">
        <w:t>ensure maximum security for payment transaction.</w:t>
      </w:r>
      <w:r w:rsidR="0053668B">
        <w:t xml:space="preserve"> </w:t>
      </w:r>
      <w:r>
        <w:t xml:space="preserve">Interaction between user’s browser and </w:t>
      </w:r>
      <w:proofErr w:type="spellStart"/>
      <w:r w:rsidR="009F2A90">
        <w:t>G</w:t>
      </w:r>
      <w:r w:rsidR="0053668B">
        <w:t>ePG</w:t>
      </w:r>
      <w:proofErr w:type="spellEnd"/>
      <w:r>
        <w:t xml:space="preserve"> functionality</w:t>
      </w:r>
      <w:r w:rsidR="0053668B">
        <w:t xml:space="preserve"> </w:t>
      </w:r>
      <w:r>
        <w:t xml:space="preserve">is done using </w:t>
      </w:r>
      <w:r w:rsidR="007B51F6" w:rsidRPr="0053668B">
        <w:t>secured socket layer (SSL)</w:t>
      </w:r>
      <w:r w:rsidR="0053668B">
        <w:t xml:space="preserve"> </w:t>
      </w:r>
      <w:r w:rsidR="0053668B" w:rsidRPr="0053668B">
        <w:t>technology</w:t>
      </w:r>
      <w:r w:rsidR="007B51F6" w:rsidRPr="0053668B">
        <w:t xml:space="preserve"> to provide secure transmission of sensitive data and encryption</w:t>
      </w:r>
      <w:r w:rsidR="00B83393">
        <w:t>.</w:t>
      </w:r>
    </w:p>
    <w:p w14:paraId="18BE98CE" w14:textId="4DF1AAE7" w:rsidR="00CC18A7" w:rsidRPr="0053668B" w:rsidRDefault="00CC18A7" w:rsidP="007B51F6">
      <w:r>
        <w:t>Full liability on successful and secured payment transactions shall be on PSP side.</w:t>
      </w:r>
    </w:p>
    <w:p w14:paraId="39B26350" w14:textId="77777777" w:rsidR="00F10B70" w:rsidRDefault="00F10B70" w:rsidP="00F10B70">
      <w:pPr>
        <w:pStyle w:val="Heading2"/>
      </w:pPr>
      <w:r>
        <w:t>Analysis</w:t>
      </w:r>
    </w:p>
    <w:p w14:paraId="39B26351" w14:textId="77777777" w:rsidR="000F711E" w:rsidRDefault="000F711E" w:rsidP="000F711E">
      <w:pPr>
        <w:pStyle w:val="Heading3"/>
      </w:pPr>
      <w:r>
        <w:t>Benefits</w:t>
      </w:r>
    </w:p>
    <w:p w14:paraId="39B26352" w14:textId="77777777" w:rsidR="000F711E" w:rsidRDefault="000F711E" w:rsidP="000F711E">
      <w:r>
        <w:t>Benefits to citizen</w:t>
      </w:r>
    </w:p>
    <w:p w14:paraId="39B26353" w14:textId="77777777" w:rsidR="000F711E" w:rsidRDefault="000F711E" w:rsidP="000F711E">
      <w:pPr>
        <w:pStyle w:val="ListParagraph"/>
        <w:numPr>
          <w:ilvl w:val="0"/>
          <w:numId w:val="2"/>
        </w:numPr>
      </w:pPr>
      <w:r>
        <w:t>Pay for services and/or products securely and completely online.</w:t>
      </w:r>
    </w:p>
    <w:p w14:paraId="39B26354" w14:textId="7CDBF682" w:rsidR="000F711E" w:rsidRDefault="000F711E" w:rsidP="000F711E">
      <w:pPr>
        <w:pStyle w:val="ListParagraph"/>
        <w:numPr>
          <w:ilvl w:val="0"/>
          <w:numId w:val="2"/>
        </w:numPr>
      </w:pPr>
      <w:r>
        <w:t xml:space="preserve">Use of e-Payment Gateway is free for </w:t>
      </w:r>
      <w:r w:rsidR="00747ABF">
        <w:t>citizens</w:t>
      </w:r>
      <w:r>
        <w:t>.</w:t>
      </w:r>
    </w:p>
    <w:p w14:paraId="39B26355" w14:textId="4089769B" w:rsidR="000F711E" w:rsidRDefault="000F711E" w:rsidP="000F711E">
      <w:pPr>
        <w:pStyle w:val="ListParagraph"/>
        <w:numPr>
          <w:ilvl w:val="0"/>
          <w:numId w:val="2"/>
        </w:numPr>
      </w:pPr>
      <w:r>
        <w:lastRenderedPageBreak/>
        <w:t>Accepts all major available payment instruments.</w:t>
      </w:r>
    </w:p>
    <w:p w14:paraId="6D7B84D8" w14:textId="36A44629" w:rsidR="002368CA" w:rsidRDefault="002368CA" w:rsidP="000F711E">
      <w:pPr>
        <w:pStyle w:val="ListParagraph"/>
        <w:numPr>
          <w:ilvl w:val="0"/>
          <w:numId w:val="2"/>
        </w:numPr>
      </w:pPr>
      <w:r>
        <w:t>Save time and money.</w:t>
      </w:r>
    </w:p>
    <w:p w14:paraId="39B26356" w14:textId="77777777" w:rsidR="000F711E" w:rsidRDefault="000F711E" w:rsidP="000F711E">
      <w:r>
        <w:t>Benefits to Government</w:t>
      </w:r>
    </w:p>
    <w:p w14:paraId="39B26357" w14:textId="77777777" w:rsidR="000F711E" w:rsidRDefault="000F711E" w:rsidP="000F711E">
      <w:pPr>
        <w:pStyle w:val="ListParagraph"/>
        <w:numPr>
          <w:ilvl w:val="0"/>
          <w:numId w:val="2"/>
        </w:numPr>
      </w:pPr>
      <w:r>
        <w:t>Payment for Services will be settled online.</w:t>
      </w:r>
    </w:p>
    <w:p w14:paraId="39B26358" w14:textId="77777777" w:rsidR="000F711E" w:rsidRDefault="000F711E" w:rsidP="000F711E">
      <w:pPr>
        <w:pStyle w:val="ListParagraph"/>
        <w:numPr>
          <w:ilvl w:val="0"/>
          <w:numId w:val="2"/>
        </w:numPr>
      </w:pPr>
      <w:r>
        <w:t>Organizations will save on Administrative cost.</w:t>
      </w:r>
    </w:p>
    <w:p w14:paraId="39B26359" w14:textId="77777777" w:rsidR="000F711E" w:rsidRDefault="000F711E" w:rsidP="000F711E">
      <w:pPr>
        <w:pStyle w:val="ListParagraph"/>
        <w:numPr>
          <w:ilvl w:val="0"/>
          <w:numId w:val="2"/>
        </w:numPr>
      </w:pPr>
      <w:r>
        <w:t>Reduced queuing at physical counters.</w:t>
      </w:r>
    </w:p>
    <w:p w14:paraId="6BB34FB9" w14:textId="29ED370D" w:rsidR="00635385" w:rsidRDefault="00635385" w:rsidP="000F711E">
      <w:pPr>
        <w:pStyle w:val="ListParagraph"/>
        <w:numPr>
          <w:ilvl w:val="0"/>
          <w:numId w:val="2"/>
        </w:numPr>
      </w:pPr>
      <w:r>
        <w:t>Higher transparency on public revenues and expenses.</w:t>
      </w:r>
    </w:p>
    <w:p w14:paraId="39B2635A" w14:textId="77777777" w:rsidR="000F711E" w:rsidRDefault="000F711E" w:rsidP="000F711E">
      <w:pPr>
        <w:pStyle w:val="ListParagraph"/>
        <w:numPr>
          <w:ilvl w:val="0"/>
          <w:numId w:val="2"/>
        </w:numPr>
      </w:pPr>
      <w:r>
        <w:t>Improved economy by direct transfer of funds.</w:t>
      </w:r>
    </w:p>
    <w:p w14:paraId="39B2635B" w14:textId="77777777" w:rsidR="000F711E" w:rsidRDefault="000F711E" w:rsidP="000F711E">
      <w:pPr>
        <w:pStyle w:val="ListParagraph"/>
        <w:numPr>
          <w:ilvl w:val="0"/>
          <w:numId w:val="2"/>
        </w:numPr>
      </w:pPr>
      <w:r>
        <w:t>Full audit trail and reconciliation for online transactions available.</w:t>
      </w:r>
    </w:p>
    <w:p w14:paraId="39B2635C" w14:textId="77777777" w:rsidR="000F711E" w:rsidRDefault="000F711E" w:rsidP="000F711E">
      <w:pPr>
        <w:pStyle w:val="ListParagraph"/>
        <w:numPr>
          <w:ilvl w:val="0"/>
          <w:numId w:val="2"/>
        </w:numPr>
      </w:pPr>
      <w:r>
        <w:t>Secure payment processing to world-class standards.</w:t>
      </w:r>
    </w:p>
    <w:p w14:paraId="39B2635D" w14:textId="77777777" w:rsidR="0020506E" w:rsidRPr="001A4A56" w:rsidRDefault="0020506E" w:rsidP="0020506E">
      <w:pPr>
        <w:pStyle w:val="ListParagraph"/>
        <w:numPr>
          <w:ilvl w:val="0"/>
          <w:numId w:val="2"/>
        </w:numPr>
        <w:rPr>
          <w:rFonts w:cs="Times New Roman"/>
        </w:rPr>
      </w:pPr>
      <w:r w:rsidRPr="001A4A56">
        <w:rPr>
          <w:rFonts w:cs="Times New Roman"/>
        </w:rPr>
        <w:t>Coordination of integration</w:t>
      </w:r>
      <w:r w:rsidR="006A6DD3">
        <w:rPr>
          <w:rFonts w:cs="Times New Roman"/>
        </w:rPr>
        <w:t xml:space="preserve"> into e-payment infrastructure</w:t>
      </w:r>
      <w:r w:rsidRPr="001A4A56">
        <w:rPr>
          <w:rFonts w:cs="Times New Roman"/>
        </w:rPr>
        <w:t xml:space="preserve"> is done by a single entity that has extensive 'know how' of the business domain;</w:t>
      </w:r>
    </w:p>
    <w:p w14:paraId="39B2635E" w14:textId="042E8D9C" w:rsidR="000F711E" w:rsidRDefault="000F711E" w:rsidP="000F711E">
      <w:r>
        <w:t xml:space="preserve">Benefits to </w:t>
      </w:r>
      <w:r w:rsidR="00747ABF">
        <w:t>S</w:t>
      </w:r>
      <w:r w:rsidR="006A6DD3">
        <w:t xml:space="preserve">ervice </w:t>
      </w:r>
      <w:r w:rsidR="00747ABF">
        <w:t>P</w:t>
      </w:r>
      <w:r w:rsidR="006A6DD3">
        <w:t>roviders (or private merchants)</w:t>
      </w:r>
    </w:p>
    <w:p w14:paraId="39B2635F" w14:textId="77777777" w:rsidR="0020506E" w:rsidRDefault="0020506E" w:rsidP="000F711E">
      <w:pPr>
        <w:pStyle w:val="ListParagraph"/>
        <w:numPr>
          <w:ilvl w:val="0"/>
          <w:numId w:val="2"/>
        </w:numPr>
      </w:pPr>
      <w:r>
        <w:t>I</w:t>
      </w:r>
      <w:r w:rsidR="000F711E">
        <w:t>ncreased customer traffic due to easy payment option</w:t>
      </w:r>
      <w:r>
        <w:t>.</w:t>
      </w:r>
    </w:p>
    <w:p w14:paraId="39B26360" w14:textId="77777777" w:rsidR="009D63E7" w:rsidRDefault="009D63E7" w:rsidP="000F711E">
      <w:pPr>
        <w:pStyle w:val="ListParagraph"/>
        <w:numPr>
          <w:ilvl w:val="0"/>
          <w:numId w:val="2"/>
        </w:numPr>
      </w:pPr>
      <w:r>
        <w:t>Improved quality of electronic services due to possibility to fully automate services’ processes.</w:t>
      </w:r>
    </w:p>
    <w:p w14:paraId="39B26361" w14:textId="77777777" w:rsidR="0020506E" w:rsidRDefault="0020506E" w:rsidP="0020506E">
      <w:pPr>
        <w:pStyle w:val="ListParagraph"/>
        <w:numPr>
          <w:ilvl w:val="0"/>
          <w:numId w:val="2"/>
        </w:numPr>
      </w:pPr>
      <w:r>
        <w:t>Promotes cross-border e-commerce</w:t>
      </w:r>
    </w:p>
    <w:p w14:paraId="39B26362" w14:textId="77777777" w:rsidR="0020506E" w:rsidRDefault="000F711E" w:rsidP="0020506E">
      <w:pPr>
        <w:pStyle w:val="ListParagraph"/>
        <w:numPr>
          <w:ilvl w:val="0"/>
          <w:numId w:val="2"/>
        </w:numPr>
      </w:pPr>
      <w:r>
        <w:t>Complete support for retailers</w:t>
      </w:r>
      <w:r w:rsidR="0020506E">
        <w:t>.</w:t>
      </w:r>
    </w:p>
    <w:p w14:paraId="39B26363" w14:textId="77777777" w:rsidR="0020506E" w:rsidRDefault="000F711E" w:rsidP="000F711E">
      <w:pPr>
        <w:pStyle w:val="ListParagraph"/>
        <w:numPr>
          <w:ilvl w:val="0"/>
          <w:numId w:val="2"/>
        </w:numPr>
      </w:pPr>
      <w:r>
        <w:t>Complete audit trail and reconciliation report provided</w:t>
      </w:r>
      <w:r w:rsidR="0020506E">
        <w:t>.</w:t>
      </w:r>
    </w:p>
    <w:p w14:paraId="39B26364" w14:textId="77777777" w:rsidR="0020506E" w:rsidRDefault="000F711E" w:rsidP="000F711E">
      <w:pPr>
        <w:pStyle w:val="ListParagraph"/>
        <w:numPr>
          <w:ilvl w:val="0"/>
          <w:numId w:val="2"/>
        </w:numPr>
      </w:pPr>
      <w:r>
        <w:t>Secure payment processing to world-class standards</w:t>
      </w:r>
      <w:r w:rsidR="0020506E">
        <w:t>.</w:t>
      </w:r>
    </w:p>
    <w:p w14:paraId="39B26365" w14:textId="77777777" w:rsidR="000F711E" w:rsidRDefault="000F711E" w:rsidP="000F711E">
      <w:pPr>
        <w:pStyle w:val="ListParagraph"/>
        <w:numPr>
          <w:ilvl w:val="0"/>
          <w:numId w:val="2"/>
        </w:numPr>
      </w:pPr>
      <w:r>
        <w:t>Online real time view of transactions</w:t>
      </w:r>
      <w:r w:rsidR="006A6DD3">
        <w:t>.</w:t>
      </w:r>
    </w:p>
    <w:p w14:paraId="39B26366" w14:textId="77777777" w:rsidR="006A6DD3" w:rsidRPr="006A6DD3" w:rsidRDefault="006A6DD3" w:rsidP="000F711E">
      <w:pPr>
        <w:pStyle w:val="ListParagraph"/>
        <w:numPr>
          <w:ilvl w:val="0"/>
          <w:numId w:val="2"/>
        </w:numPr>
      </w:pPr>
      <w:r>
        <w:rPr>
          <w:rFonts w:cs="Times New Roman"/>
        </w:rPr>
        <w:t>Reduced integration complexity due to i</w:t>
      </w:r>
      <w:r w:rsidRPr="001A4A56">
        <w:rPr>
          <w:rFonts w:cs="Times New Roman"/>
        </w:rPr>
        <w:t>mplement</w:t>
      </w:r>
      <w:r>
        <w:rPr>
          <w:rFonts w:cs="Times New Roman"/>
        </w:rPr>
        <w:t xml:space="preserve">ation of </w:t>
      </w:r>
      <w:r w:rsidRPr="001A4A56">
        <w:rPr>
          <w:rFonts w:cs="Times New Roman"/>
        </w:rPr>
        <w:t xml:space="preserve">a single </w:t>
      </w:r>
      <w:r>
        <w:rPr>
          <w:rFonts w:cs="Times New Roman"/>
        </w:rPr>
        <w:t>p</w:t>
      </w:r>
      <w:r w:rsidRPr="001A4A56">
        <w:rPr>
          <w:rFonts w:cs="Times New Roman"/>
        </w:rPr>
        <w:t>ayment protocol</w:t>
      </w:r>
      <w:r>
        <w:rPr>
          <w:rFonts w:cs="Times New Roman"/>
        </w:rPr>
        <w:t>.</w:t>
      </w:r>
    </w:p>
    <w:p w14:paraId="39B26367" w14:textId="77777777" w:rsidR="006A6DD3" w:rsidRPr="006A6DD3" w:rsidRDefault="006A6DD3" w:rsidP="009D63E7">
      <w:pPr>
        <w:rPr>
          <w:rFonts w:cstheme="minorBidi"/>
        </w:rPr>
      </w:pPr>
      <w:r w:rsidRPr="009D63E7">
        <w:t>Benefits to Payment Service Providers:</w:t>
      </w:r>
    </w:p>
    <w:p w14:paraId="39B26368" w14:textId="77777777" w:rsidR="009D63E7" w:rsidRDefault="009D63E7" w:rsidP="009D63E7">
      <w:pPr>
        <w:pStyle w:val="ListParagraph"/>
        <w:numPr>
          <w:ilvl w:val="0"/>
          <w:numId w:val="2"/>
        </w:numPr>
      </w:pPr>
      <w:r>
        <w:t>Increased number of transactions due to access to national payment infrastructure.</w:t>
      </w:r>
    </w:p>
    <w:p w14:paraId="39B26369" w14:textId="77777777" w:rsidR="009D63E7" w:rsidRDefault="009D63E7" w:rsidP="009D63E7">
      <w:pPr>
        <w:pStyle w:val="ListParagraph"/>
        <w:numPr>
          <w:ilvl w:val="0"/>
          <w:numId w:val="2"/>
        </w:numPr>
      </w:pPr>
      <w:r>
        <w:t>Ability to compete freely and on equal conditions.</w:t>
      </w:r>
    </w:p>
    <w:p w14:paraId="39B2636A" w14:textId="77777777" w:rsidR="007C0E15" w:rsidRDefault="007C0E15" w:rsidP="00732EBC">
      <w:pPr>
        <w:pStyle w:val="Heading2"/>
      </w:pPr>
      <w:r>
        <w:t>Sustainability</w:t>
      </w:r>
    </w:p>
    <w:p w14:paraId="3B4539DC" w14:textId="0CC95470" w:rsidR="00FC74DE" w:rsidRDefault="00FC74DE" w:rsidP="00FC74DE">
      <w:r>
        <w:t>In order to ensure electronic payment service sustainability, the state may perceive some fees for using it. The following are the fees envisioned for different actors involved in main online payment scenarios.</w:t>
      </w:r>
    </w:p>
    <w:p w14:paraId="02EB0271" w14:textId="653AF98C" w:rsidR="00FC74DE" w:rsidRDefault="00FC74DE" w:rsidP="00FC74DE">
      <w:r>
        <w:t>Fees for citizen/individuals/buyers:</w:t>
      </w:r>
    </w:p>
    <w:p w14:paraId="7620D93D" w14:textId="1F28F91E" w:rsidR="00FC74DE" w:rsidRPr="00FC74DE" w:rsidRDefault="00FC74DE" w:rsidP="00FC74DE">
      <w:pPr>
        <w:pStyle w:val="ListParagraph"/>
        <w:numPr>
          <w:ilvl w:val="0"/>
          <w:numId w:val="2"/>
        </w:numPr>
      </w:pPr>
      <w:r>
        <w:t>None.</w:t>
      </w:r>
    </w:p>
    <w:p w14:paraId="39B2636B" w14:textId="46EE82BA" w:rsidR="00F818AA" w:rsidRDefault="005B0C02" w:rsidP="00F818AA">
      <w:r>
        <w:t>Possible f</w:t>
      </w:r>
      <w:r w:rsidR="00F818AA">
        <w:t>ees for Service providers:</w:t>
      </w:r>
    </w:p>
    <w:p w14:paraId="39B2636C" w14:textId="77777777" w:rsidR="00F818AA" w:rsidRDefault="00F818AA" w:rsidP="00F818AA">
      <w:pPr>
        <w:pStyle w:val="ListParagraph"/>
        <w:numPr>
          <w:ilvl w:val="0"/>
          <w:numId w:val="16"/>
        </w:numPr>
      </w:pPr>
      <w:r>
        <w:t xml:space="preserve">One time joining fee – </w:t>
      </w:r>
      <w:r w:rsidRPr="00F818AA">
        <w:rPr>
          <w:highlight w:val="yellow"/>
        </w:rPr>
        <w:t>X</w:t>
      </w:r>
      <w:r>
        <w:t xml:space="preserve"> MDL;</w:t>
      </w:r>
    </w:p>
    <w:p w14:paraId="39B2636D" w14:textId="77777777" w:rsidR="00F818AA" w:rsidRDefault="00F818AA" w:rsidP="00F818AA">
      <w:pPr>
        <w:pStyle w:val="ListParagraph"/>
        <w:numPr>
          <w:ilvl w:val="0"/>
          <w:numId w:val="16"/>
        </w:numPr>
      </w:pPr>
      <w:r>
        <w:t xml:space="preserve">Annual Maintenance fee – </w:t>
      </w:r>
      <w:r w:rsidRPr="00F818AA">
        <w:rPr>
          <w:highlight w:val="yellow"/>
        </w:rPr>
        <w:t>Y</w:t>
      </w:r>
      <w:r>
        <w:t xml:space="preserve"> MDL;</w:t>
      </w:r>
    </w:p>
    <w:p w14:paraId="39B2636E" w14:textId="24B2A52C" w:rsidR="00F818AA" w:rsidRDefault="00F818AA" w:rsidP="00F818AA">
      <w:pPr>
        <w:pStyle w:val="ListParagraph"/>
        <w:numPr>
          <w:ilvl w:val="0"/>
          <w:numId w:val="16"/>
        </w:numPr>
      </w:pPr>
      <w:r w:rsidRPr="005B0C02">
        <w:t xml:space="preserve">Transaction fee </w:t>
      </w:r>
      <w:r w:rsidRPr="00697E9F">
        <w:rPr>
          <w:highlight w:val="yellow"/>
        </w:rPr>
        <w:t xml:space="preserve">(Z </w:t>
      </w:r>
      <w:r>
        <w:t xml:space="preserve">% on transaction value per transaction). Rate will be </w:t>
      </w:r>
      <w:r w:rsidR="009057E1">
        <w:t>defined</w:t>
      </w:r>
      <w:r>
        <w:t xml:space="preserve"> by </w:t>
      </w:r>
      <w:proofErr w:type="spellStart"/>
      <w:r>
        <w:t>eGC</w:t>
      </w:r>
      <w:proofErr w:type="spellEnd"/>
      <w:r>
        <w:t>.</w:t>
      </w:r>
    </w:p>
    <w:p w14:paraId="39B2636F" w14:textId="77777777" w:rsidR="00F818AA" w:rsidRDefault="00F818AA" w:rsidP="00F818AA"/>
    <w:p w14:paraId="39B26370" w14:textId="62365B7A" w:rsidR="007C0E15" w:rsidRDefault="005B0C02" w:rsidP="007C0E15">
      <w:r>
        <w:t>Possible f</w:t>
      </w:r>
      <w:r w:rsidR="00F818AA">
        <w:t>ees for PSP:</w:t>
      </w:r>
    </w:p>
    <w:p w14:paraId="39B26371" w14:textId="77777777" w:rsidR="00F818AA" w:rsidRDefault="00F818AA" w:rsidP="00F818AA">
      <w:pPr>
        <w:pStyle w:val="ListParagraph"/>
        <w:numPr>
          <w:ilvl w:val="0"/>
          <w:numId w:val="16"/>
        </w:numPr>
      </w:pPr>
      <w:r>
        <w:t xml:space="preserve">One time joining fee – </w:t>
      </w:r>
      <w:r w:rsidRPr="00F818AA">
        <w:rPr>
          <w:highlight w:val="yellow"/>
        </w:rPr>
        <w:t>X</w:t>
      </w:r>
      <w:r>
        <w:t xml:space="preserve"> MDL;</w:t>
      </w:r>
    </w:p>
    <w:p w14:paraId="39B26372" w14:textId="77777777" w:rsidR="00F818AA" w:rsidRDefault="00F818AA" w:rsidP="00F818AA">
      <w:pPr>
        <w:pStyle w:val="ListParagraph"/>
        <w:numPr>
          <w:ilvl w:val="0"/>
          <w:numId w:val="16"/>
        </w:numPr>
      </w:pPr>
      <w:r>
        <w:lastRenderedPageBreak/>
        <w:t xml:space="preserve">Annual Maintenance fee – </w:t>
      </w:r>
      <w:r w:rsidRPr="00F818AA">
        <w:rPr>
          <w:highlight w:val="yellow"/>
        </w:rPr>
        <w:t>Y</w:t>
      </w:r>
      <w:r>
        <w:t xml:space="preserve"> MDL</w:t>
      </w:r>
    </w:p>
    <w:p w14:paraId="39B26373" w14:textId="21D7F8AE" w:rsidR="00F818AA" w:rsidRDefault="00F818AA" w:rsidP="00F818AA">
      <w:pPr>
        <w:pStyle w:val="ListParagraph"/>
        <w:numPr>
          <w:ilvl w:val="0"/>
          <w:numId w:val="16"/>
        </w:numPr>
      </w:pPr>
      <w:r w:rsidRPr="005B0C02">
        <w:t>Transaction fee</w:t>
      </w:r>
      <w:r>
        <w:t xml:space="preserve"> (</w:t>
      </w:r>
      <w:r w:rsidRPr="00F818AA">
        <w:rPr>
          <w:highlight w:val="yellow"/>
        </w:rPr>
        <w:t>Z</w:t>
      </w:r>
      <w:r>
        <w:t xml:space="preserve"> % on transaction value per transaction). Rate will be fixed by </w:t>
      </w:r>
      <w:proofErr w:type="spellStart"/>
      <w:r>
        <w:t>eGC</w:t>
      </w:r>
      <w:proofErr w:type="spellEnd"/>
      <w:r>
        <w:t>.</w:t>
      </w:r>
    </w:p>
    <w:p w14:paraId="447C11A6" w14:textId="756C01C0" w:rsidR="002E3277" w:rsidRDefault="002E3277" w:rsidP="002E3277">
      <w:r>
        <w:t xml:space="preserve">The fees </w:t>
      </w:r>
      <w:r w:rsidR="009057E1">
        <w:t xml:space="preserve">for public sector and private sector may differ and </w:t>
      </w:r>
      <w:r>
        <w:t xml:space="preserve">will be determined after a thorough </w:t>
      </w:r>
      <w:r w:rsidR="00D36FC9">
        <w:t>economic analysis.</w:t>
      </w:r>
      <w:r>
        <w:t xml:space="preserve"> </w:t>
      </w:r>
    </w:p>
    <w:p w14:paraId="39B26382" w14:textId="77777777" w:rsidR="00250B7D" w:rsidRDefault="00732EBC" w:rsidP="0028126B">
      <w:pPr>
        <w:pStyle w:val="Heading2"/>
      </w:pPr>
      <w:r>
        <w:t xml:space="preserve">Future </w:t>
      </w:r>
      <w:r w:rsidR="00250B7D">
        <w:t xml:space="preserve">Extensions to </w:t>
      </w:r>
      <w:proofErr w:type="spellStart"/>
      <w:r w:rsidR="00250B7D">
        <w:t>ePG</w:t>
      </w:r>
      <w:proofErr w:type="spellEnd"/>
    </w:p>
    <w:p w14:paraId="39B26383" w14:textId="54791054" w:rsidR="009B25BF" w:rsidRPr="004E0CA2" w:rsidRDefault="00DC7869" w:rsidP="00250B7D">
      <w:pPr>
        <w:pStyle w:val="Heading3"/>
      </w:pPr>
      <w:r>
        <w:t>Billing Service</w:t>
      </w:r>
    </w:p>
    <w:p w14:paraId="54BCCC20" w14:textId="40765EF4" w:rsidR="00DC7869" w:rsidRDefault="008C0DC5" w:rsidP="0028126B">
      <w:r>
        <w:t xml:space="preserve">As an extension to the direct </w:t>
      </w:r>
      <w:r w:rsidR="002017FA">
        <w:t xml:space="preserve">online </w:t>
      </w:r>
      <w:r>
        <w:t xml:space="preserve">payment function we consider implementing a Billing Service that </w:t>
      </w:r>
      <w:r w:rsidR="00DC7869">
        <w:t>would allow consolidation of payments, i.e. the user may opt to send the payment request to the Billing Service instead of paying it immediately. At a later stage, the user accesses the Billing service and sees all the payments waiting to be processed. This service will be especially useful for postpaid services, acting like regular utility services.</w:t>
      </w:r>
    </w:p>
    <w:p w14:paraId="39B26384" w14:textId="69EFD278" w:rsidR="008C0DC5" w:rsidRDefault="008C0DC5" w:rsidP="0028126B">
      <w:r>
        <w:t xml:space="preserve">This functionality will be developed as a subsequent phase of the project. </w:t>
      </w:r>
    </w:p>
    <w:p w14:paraId="39B2638B" w14:textId="6BBD13A6" w:rsidR="008C0DC5" w:rsidRDefault="008C0DC5" w:rsidP="00250B7D">
      <w:pPr>
        <w:pStyle w:val="Heading3"/>
      </w:pPr>
      <w:r>
        <w:t>Ship</w:t>
      </w:r>
      <w:r w:rsidR="003B421D">
        <w:t>ping Service</w:t>
      </w:r>
    </w:p>
    <w:p w14:paraId="508B302E" w14:textId="77777777" w:rsidR="007405CA" w:rsidRDefault="008C0DC5" w:rsidP="0028126B">
      <w:r>
        <w:t xml:space="preserve">An electronic payment integrated solution is incomplete if it does not allow material goods to be </w:t>
      </w:r>
      <w:r w:rsidR="00CD1E55">
        <w:t>delivered to the end user</w:t>
      </w:r>
      <w:r>
        <w:t>. Material goods require shipment and delivery</w:t>
      </w:r>
      <w:r w:rsidR="0060072B">
        <w:t xml:space="preserve"> infrastructure which could be considered as another enabler for mass uptake of electronic services</w:t>
      </w:r>
      <w:r>
        <w:t>.</w:t>
      </w:r>
    </w:p>
    <w:p w14:paraId="39B2638C" w14:textId="04FB9C7E" w:rsidR="008C0DC5" w:rsidRDefault="007405CA" w:rsidP="0028126B">
      <w:r>
        <w:t xml:space="preserve">Although Shipping Service is logically tied to e-Payment service (in most cases you pay for the goods and after that they get delivered to you), still this service will be implemented completely decoupled from </w:t>
      </w:r>
      <w:proofErr w:type="spellStart"/>
      <w:r w:rsidR="009F2A90">
        <w:t>G</w:t>
      </w:r>
      <w:r>
        <w:t>ePG</w:t>
      </w:r>
      <w:proofErr w:type="spellEnd"/>
      <w:r>
        <w:t>.</w:t>
      </w:r>
      <w:r w:rsidR="008C0DC5">
        <w:t xml:space="preserve"> </w:t>
      </w:r>
      <w:r w:rsidR="00E827E4">
        <w:t xml:space="preserve">The model will be similar allowing a central gateway to concentrate Shipment Providers into a single gateway for Service Providers to rely upon. This solution shall be able to operate with the multitude of </w:t>
      </w:r>
      <w:r>
        <w:t>s</w:t>
      </w:r>
      <w:r w:rsidR="00E827E4">
        <w:t>hipment constraints and expectations such as urgency, container sizes, weights of shipped goods, pa</w:t>
      </w:r>
      <w:r>
        <w:t>ckage tracking etc.</w:t>
      </w:r>
    </w:p>
    <w:p w14:paraId="6B60428B" w14:textId="3F7A6C42" w:rsidR="0061506F" w:rsidRPr="008C0DC5" w:rsidRDefault="0061506F" w:rsidP="0028126B">
      <w:r>
        <w:t>This functionality will be developed as a subsequent phase of the project.</w:t>
      </w:r>
    </w:p>
    <w:p w14:paraId="39B2638D" w14:textId="77777777" w:rsidR="009B25BF" w:rsidRPr="0061506F" w:rsidRDefault="009B25BF" w:rsidP="0028126B">
      <w:pPr>
        <w:pStyle w:val="Heading1"/>
      </w:pPr>
      <w:r w:rsidRPr="0061506F">
        <w:t xml:space="preserve">Legal requirements for electronic </w:t>
      </w:r>
      <w:r w:rsidR="00560B3D" w:rsidRPr="0061506F">
        <w:t>payments</w:t>
      </w:r>
    </w:p>
    <w:p w14:paraId="39B2638E" w14:textId="31582985" w:rsidR="00560B3D" w:rsidRPr="0061506F" w:rsidRDefault="0061506F" w:rsidP="0061506F">
      <w:r>
        <w:rPr>
          <w:lang w:val="en-GB"/>
        </w:rPr>
        <w:t xml:space="preserve">Electronic payment legislation is not yet </w:t>
      </w:r>
      <w:proofErr w:type="gramStart"/>
      <w:r>
        <w:rPr>
          <w:lang w:val="en-GB"/>
        </w:rPr>
        <w:t>outlined,</w:t>
      </w:r>
      <w:proofErr w:type="gramEnd"/>
      <w:r>
        <w:rPr>
          <w:lang w:val="en-GB"/>
        </w:rPr>
        <w:t xml:space="preserve"> nevertheless there is a draft law on electronic money – “</w:t>
      </w:r>
      <w:proofErr w:type="spellStart"/>
      <w:r w:rsidRPr="0061506F">
        <w:rPr>
          <w:lang w:val="en-GB"/>
        </w:rPr>
        <w:t>L</w:t>
      </w:r>
      <w:r>
        <w:rPr>
          <w:lang w:val="en-GB"/>
        </w:rPr>
        <w:t>egea</w:t>
      </w:r>
      <w:proofErr w:type="spellEnd"/>
      <w:r>
        <w:rPr>
          <w:lang w:val="en-GB"/>
        </w:rPr>
        <w:t xml:space="preserve"> </w:t>
      </w:r>
      <w:r w:rsidRPr="0061506F">
        <w:rPr>
          <w:lang w:val="en-GB"/>
        </w:rPr>
        <w:t xml:space="preserve">cu </w:t>
      </w:r>
      <w:proofErr w:type="spellStart"/>
      <w:r w:rsidRPr="0061506F">
        <w:rPr>
          <w:lang w:val="en-GB"/>
        </w:rPr>
        <w:t>privire</w:t>
      </w:r>
      <w:proofErr w:type="spellEnd"/>
      <w:r w:rsidRPr="0061506F">
        <w:rPr>
          <w:lang w:val="en-GB"/>
        </w:rPr>
        <w:t xml:space="preserve"> la </w:t>
      </w:r>
      <w:proofErr w:type="spellStart"/>
      <w:r w:rsidRPr="0061506F">
        <w:rPr>
          <w:lang w:val="en-GB"/>
        </w:rPr>
        <w:t>serviciile</w:t>
      </w:r>
      <w:proofErr w:type="spellEnd"/>
      <w:r w:rsidRPr="0061506F">
        <w:rPr>
          <w:lang w:val="en-GB"/>
        </w:rPr>
        <w:t xml:space="preserve"> de </w:t>
      </w:r>
      <w:proofErr w:type="spellStart"/>
      <w:r w:rsidRPr="0061506F">
        <w:rPr>
          <w:lang w:val="en-GB"/>
        </w:rPr>
        <w:t>plata</w:t>
      </w:r>
      <w:proofErr w:type="spellEnd"/>
      <w:r w:rsidRPr="0061506F">
        <w:rPr>
          <w:lang w:val="en-GB"/>
        </w:rPr>
        <w:t xml:space="preserve"> </w:t>
      </w:r>
      <w:proofErr w:type="spellStart"/>
      <w:r w:rsidRPr="0061506F">
        <w:rPr>
          <w:lang w:val="en-GB"/>
        </w:rPr>
        <w:t>si</w:t>
      </w:r>
      <w:proofErr w:type="spellEnd"/>
      <w:r w:rsidRPr="0061506F">
        <w:rPr>
          <w:lang w:val="en-GB"/>
        </w:rPr>
        <w:t xml:space="preserve"> </w:t>
      </w:r>
      <w:proofErr w:type="spellStart"/>
      <w:r w:rsidRPr="0061506F">
        <w:rPr>
          <w:lang w:val="en-GB"/>
        </w:rPr>
        <w:t>moneda</w:t>
      </w:r>
      <w:proofErr w:type="spellEnd"/>
      <w:r w:rsidRPr="0061506F">
        <w:rPr>
          <w:lang w:val="en-GB"/>
        </w:rPr>
        <w:t xml:space="preserve"> electronica</w:t>
      </w:r>
      <w:r>
        <w:rPr>
          <w:lang w:val="en-GB"/>
        </w:rPr>
        <w:t xml:space="preserve">”, issued by National Bank of Moldova for public consultations. Once adopted, the national e-Payment infrastructure shall conform to this law. </w:t>
      </w:r>
    </w:p>
    <w:p w14:paraId="39B26390" w14:textId="4FB57DC3" w:rsidR="009B25BF" w:rsidRPr="004E0CA2" w:rsidRDefault="00EE5888" w:rsidP="0028126B">
      <w:pPr>
        <w:pStyle w:val="Heading1"/>
      </w:pPr>
      <w:r>
        <w:t>Implementation considerations</w:t>
      </w:r>
    </w:p>
    <w:p w14:paraId="39B26391" w14:textId="77777777" w:rsidR="009B25BF" w:rsidRPr="002268DF" w:rsidRDefault="002268DF" w:rsidP="002268DF">
      <w:r w:rsidRPr="002268DF">
        <w:t>It would have been best if a Private Sector Electronic Payment Gateway was available for peruse by both Public and Private sector services</w:t>
      </w:r>
      <w:r w:rsidR="009B25BF" w:rsidRPr="002268DF">
        <w:t>.</w:t>
      </w:r>
      <w:r w:rsidRPr="002268DF">
        <w:t xml:space="preserve"> Still, at the moment no such Electronic Payment Gateway has got any widespread adoption in Moldova. Under these conditions the e-Government Centre intends to develop such a solution from scratch. Even so, it will start in a staged manner with small investments of funds, time and effort and observe how the market and the payment services evolve. If competitive alternatives appear on the market the e-Government Centre will assess their role and reconsider further reliance on electronic payments being developed by the Government. If no alternatives appear or mature in due time subsequent stages of the service development will be considered in order to extend and enhance the capabilities offered. </w:t>
      </w:r>
    </w:p>
    <w:p w14:paraId="00A684AD" w14:textId="5DE07A2E" w:rsidR="00EE5888" w:rsidRDefault="00EE5888" w:rsidP="00EE5888">
      <w:pPr>
        <w:pStyle w:val="Heading3"/>
      </w:pPr>
      <w:r>
        <w:lastRenderedPageBreak/>
        <w:t>Testing platform</w:t>
      </w:r>
    </w:p>
    <w:p w14:paraId="0E3D39D6" w14:textId="6AF26EC9" w:rsidR="00EE5888" w:rsidRPr="00560B3D" w:rsidRDefault="00EE5888" w:rsidP="002268DF">
      <w:r>
        <w:t>The Government shall offer a testing payment platform for both e-services developers and PSPs. Service providers and PSPs shall test their products using this platform prior integrating them into the production.</w:t>
      </w:r>
    </w:p>
    <w:p w14:paraId="39B263CD" w14:textId="77777777" w:rsidR="009B25BF" w:rsidRPr="004E0CA2" w:rsidRDefault="009B25BF" w:rsidP="0028126B">
      <w:pPr>
        <w:pStyle w:val="Heading2"/>
      </w:pPr>
      <w:r w:rsidRPr="004E0CA2">
        <w:t>Risks</w:t>
      </w:r>
    </w:p>
    <w:p w14:paraId="39B263CE" w14:textId="77777777" w:rsidR="009B25BF" w:rsidRPr="00E942B0" w:rsidRDefault="009B25BF" w:rsidP="0028126B">
      <w:r w:rsidRPr="00E942B0">
        <w:t>The following major risks are identified:</w:t>
      </w:r>
    </w:p>
    <w:p w14:paraId="39B263CF" w14:textId="77777777" w:rsidR="009B25BF" w:rsidRPr="001A4A56" w:rsidRDefault="00950735" w:rsidP="001A4A56">
      <w:pPr>
        <w:pStyle w:val="ListParagraph"/>
        <w:numPr>
          <w:ilvl w:val="0"/>
          <w:numId w:val="4"/>
        </w:numPr>
        <w:rPr>
          <w:rFonts w:cs="Times New Roman"/>
        </w:rPr>
      </w:pPr>
      <w:r w:rsidRPr="001A4A56">
        <w:rPr>
          <w:rFonts w:cs="Times New Roman"/>
        </w:rPr>
        <w:t xml:space="preserve">Payment via electronic means such as Credit/Debit cards did not </w:t>
      </w:r>
      <w:r w:rsidR="0028126B" w:rsidRPr="001A4A56">
        <w:rPr>
          <w:rFonts w:cs="Times New Roman"/>
        </w:rPr>
        <w:t>"</w:t>
      </w:r>
      <w:r w:rsidRPr="001A4A56">
        <w:rPr>
          <w:rFonts w:cs="Times New Roman"/>
        </w:rPr>
        <w:t>take off</w:t>
      </w:r>
      <w:r w:rsidR="0028126B" w:rsidRPr="001A4A56">
        <w:rPr>
          <w:rFonts w:cs="Times New Roman"/>
        </w:rPr>
        <w:t>"</w:t>
      </w:r>
      <w:r w:rsidRPr="001A4A56">
        <w:rPr>
          <w:rFonts w:cs="Times New Roman"/>
        </w:rPr>
        <w:t xml:space="preserve"> in Moldova</w:t>
      </w:r>
      <w:r w:rsidR="009B25BF" w:rsidRPr="001A4A56">
        <w:rPr>
          <w:rFonts w:cs="Times New Roman"/>
        </w:rPr>
        <w:t>.</w:t>
      </w:r>
      <w:r w:rsidRPr="001A4A56">
        <w:rPr>
          <w:rFonts w:cs="Times New Roman"/>
        </w:rPr>
        <w:t xml:space="preserve"> The Payments and Billing service tries to ease the process and to introduce an increased level of trust into electronic funds transfers by individuals but this cannot be guaranteed. </w:t>
      </w:r>
    </w:p>
    <w:p w14:paraId="39B263D0" w14:textId="77777777" w:rsidR="009B25BF" w:rsidRPr="001A4A56" w:rsidRDefault="00950735" w:rsidP="001A4A56">
      <w:pPr>
        <w:pStyle w:val="ListParagraph"/>
        <w:numPr>
          <w:ilvl w:val="0"/>
          <w:numId w:val="4"/>
        </w:numPr>
        <w:rPr>
          <w:rFonts w:cs="Times New Roman"/>
        </w:rPr>
      </w:pPr>
      <w:r w:rsidRPr="001A4A56">
        <w:rPr>
          <w:rFonts w:cs="Times New Roman"/>
        </w:rPr>
        <w:t>Currently there are legislative initiatives to regulate the field of electronic payments, electronic payment services and electronic money</w:t>
      </w:r>
      <w:r w:rsidR="009B25BF" w:rsidRPr="001A4A56">
        <w:rPr>
          <w:rFonts w:cs="Times New Roman"/>
        </w:rPr>
        <w:t>.</w:t>
      </w:r>
      <w:r w:rsidRPr="001A4A56">
        <w:rPr>
          <w:rFonts w:cs="Times New Roman"/>
        </w:rPr>
        <w:t xml:space="preserve"> These initiatives can be seen as a barrier to entry for newcomers and innovators in the field and protect the incumbent players who failed to innovate. This has the potential to compromise the usefulness of the Payment and Billing service since it depends entirely on the existence and affordability of Electronic Payment Providers to support the service. </w:t>
      </w:r>
    </w:p>
    <w:p w14:paraId="39B263D1" w14:textId="16C36E96" w:rsidR="00227200" w:rsidRPr="001A4A56" w:rsidRDefault="00227200" w:rsidP="001A4A56">
      <w:pPr>
        <w:pStyle w:val="ListParagraph"/>
        <w:numPr>
          <w:ilvl w:val="0"/>
          <w:numId w:val="4"/>
        </w:numPr>
        <w:rPr>
          <w:rFonts w:cs="Times New Roman"/>
        </w:rPr>
      </w:pPr>
      <w:r w:rsidRPr="001A4A56">
        <w:rPr>
          <w:rFonts w:cs="Times New Roman"/>
        </w:rPr>
        <w:t xml:space="preserve">Service Providers operate sometimes with multiple </w:t>
      </w:r>
      <w:r w:rsidR="00EB6995">
        <w:rPr>
          <w:rFonts w:cs="Times New Roman"/>
        </w:rPr>
        <w:t xml:space="preserve">bank/treasury </w:t>
      </w:r>
      <w:r w:rsidRPr="001A4A56">
        <w:rPr>
          <w:rFonts w:cs="Times New Roman"/>
        </w:rPr>
        <w:t xml:space="preserve">accounts that receive the actual money when a payment is made. This causes the need that the account details, including Bank, Bank Identifiers, Routing Numbers, Account Numbers, Service Provider Identities and possibly other attributes to be included in the payment requests/responses so the Payment Provider is able to correctly wire the funds. </w:t>
      </w:r>
      <w:r w:rsidR="00EB6995">
        <w:t>This introduces additional complexity to the final solution.</w:t>
      </w:r>
    </w:p>
    <w:p w14:paraId="39B263D2" w14:textId="77777777" w:rsidR="009B25BF" w:rsidRDefault="009B25BF" w:rsidP="0028126B">
      <w:pPr>
        <w:pStyle w:val="Heading1"/>
      </w:pPr>
      <w:r w:rsidRPr="004E0CA2">
        <w:t>Next steps</w:t>
      </w:r>
    </w:p>
    <w:p w14:paraId="22591657" w14:textId="0A02B2B5" w:rsidR="00EE5888" w:rsidRPr="002268DF" w:rsidRDefault="00EE5888" w:rsidP="00EE5888">
      <w:r w:rsidRPr="002268DF">
        <w:t xml:space="preserve">In order to proceed with further implementation, the following set of </w:t>
      </w:r>
      <w:r w:rsidR="00FD1867">
        <w:t>issues</w:t>
      </w:r>
      <w:r w:rsidRPr="002268DF">
        <w:t xml:space="preserve"> should be clarified</w:t>
      </w:r>
      <w:r w:rsidR="00FD1867">
        <w:t xml:space="preserve"> during public consultations</w:t>
      </w:r>
      <w:r w:rsidRPr="002268DF">
        <w:t>.</w:t>
      </w:r>
    </w:p>
    <w:p w14:paraId="4EBADC93" w14:textId="77777777" w:rsidR="00EE5888" w:rsidRPr="00E942B0" w:rsidRDefault="00EE5888" w:rsidP="00EE5888">
      <w:pPr>
        <w:pStyle w:val="ListParagraph"/>
        <w:rPr>
          <w:highlight w:val="yellow"/>
        </w:rPr>
      </w:pPr>
    </w:p>
    <w:tbl>
      <w:tblPr>
        <w:tblStyle w:val="TableGrid"/>
        <w:tblW w:w="0" w:type="auto"/>
        <w:tblInd w:w="720" w:type="dxa"/>
        <w:tblLook w:val="04A0" w:firstRow="1" w:lastRow="0" w:firstColumn="1" w:lastColumn="0" w:noHBand="0" w:noVBand="1"/>
      </w:tblPr>
      <w:tblGrid>
        <w:gridCol w:w="516"/>
        <w:gridCol w:w="2927"/>
        <w:gridCol w:w="4885"/>
      </w:tblGrid>
      <w:tr w:rsidR="00EE5888" w:rsidRPr="002268DF" w14:paraId="00048BCA" w14:textId="77777777" w:rsidTr="00EE5888">
        <w:tc>
          <w:tcPr>
            <w:tcW w:w="516" w:type="dxa"/>
            <w:shd w:val="clear" w:color="auto" w:fill="7F7F7F" w:themeFill="text1" w:themeFillTint="80"/>
          </w:tcPr>
          <w:p w14:paraId="71ACCC7D" w14:textId="77777777" w:rsidR="00EE5888" w:rsidRPr="002268DF" w:rsidRDefault="00EE5888" w:rsidP="00EE5888">
            <w:r w:rsidRPr="002268DF">
              <w:t>#</w:t>
            </w:r>
          </w:p>
        </w:tc>
        <w:tc>
          <w:tcPr>
            <w:tcW w:w="2927" w:type="dxa"/>
            <w:shd w:val="clear" w:color="auto" w:fill="7F7F7F" w:themeFill="text1" w:themeFillTint="80"/>
          </w:tcPr>
          <w:p w14:paraId="0D2DD67E" w14:textId="77777777" w:rsidR="00EE5888" w:rsidRPr="002268DF" w:rsidRDefault="00EE5888" w:rsidP="00EE5888">
            <w:r w:rsidRPr="002268DF">
              <w:t>Criterion</w:t>
            </w:r>
          </w:p>
        </w:tc>
        <w:tc>
          <w:tcPr>
            <w:tcW w:w="4885" w:type="dxa"/>
            <w:shd w:val="clear" w:color="auto" w:fill="7F7F7F" w:themeFill="text1" w:themeFillTint="80"/>
          </w:tcPr>
          <w:p w14:paraId="328A55A6" w14:textId="77777777" w:rsidR="00EE5888" w:rsidRPr="002268DF" w:rsidRDefault="00EE5888" w:rsidP="00EE5888">
            <w:r w:rsidRPr="002268DF">
              <w:t>Description</w:t>
            </w:r>
          </w:p>
        </w:tc>
      </w:tr>
      <w:tr w:rsidR="00EE5888" w:rsidRPr="002268DF" w14:paraId="20EA2C56" w14:textId="77777777" w:rsidTr="00EE5888">
        <w:tc>
          <w:tcPr>
            <w:tcW w:w="516" w:type="dxa"/>
          </w:tcPr>
          <w:p w14:paraId="497366A0" w14:textId="77777777" w:rsidR="00EE5888" w:rsidRPr="002268DF" w:rsidRDefault="00EE5888" w:rsidP="00EE5888">
            <w:r w:rsidRPr="002268DF">
              <w:t>1.</w:t>
            </w:r>
          </w:p>
        </w:tc>
        <w:tc>
          <w:tcPr>
            <w:tcW w:w="2927" w:type="dxa"/>
          </w:tcPr>
          <w:p w14:paraId="6B34E256" w14:textId="77777777" w:rsidR="00EE5888" w:rsidRPr="002268DF" w:rsidRDefault="00EE5888" w:rsidP="00EE5888">
            <w:r w:rsidRPr="002268DF">
              <w:t>Cost of implementation</w:t>
            </w:r>
          </w:p>
        </w:tc>
        <w:tc>
          <w:tcPr>
            <w:tcW w:w="4885" w:type="dxa"/>
          </w:tcPr>
          <w:p w14:paraId="66DBFF9E" w14:textId="43AF46A5" w:rsidR="00EE5888" w:rsidRPr="002268DF" w:rsidRDefault="00EE5888" w:rsidP="00EE5888">
            <w:r w:rsidRPr="002268DF">
              <w:t xml:space="preserve">How much it will cost the state to implement the </w:t>
            </w:r>
            <w:proofErr w:type="spellStart"/>
            <w:r w:rsidR="009F2A90">
              <w:t>G</w:t>
            </w:r>
            <w:r>
              <w:t>ePG</w:t>
            </w:r>
            <w:proofErr w:type="spellEnd"/>
            <w:r w:rsidRPr="002268DF">
              <w:t>?</w:t>
            </w:r>
          </w:p>
        </w:tc>
      </w:tr>
      <w:tr w:rsidR="00EE5888" w:rsidRPr="002268DF" w14:paraId="0E36E3D5" w14:textId="77777777" w:rsidTr="00EE5888">
        <w:tc>
          <w:tcPr>
            <w:tcW w:w="516" w:type="dxa"/>
          </w:tcPr>
          <w:p w14:paraId="52B3B436" w14:textId="77777777" w:rsidR="00EE5888" w:rsidRPr="002268DF" w:rsidRDefault="00EE5888" w:rsidP="00EE5888">
            <w:r w:rsidRPr="002268DF">
              <w:t>2.</w:t>
            </w:r>
          </w:p>
        </w:tc>
        <w:tc>
          <w:tcPr>
            <w:tcW w:w="2927" w:type="dxa"/>
          </w:tcPr>
          <w:p w14:paraId="531554B5" w14:textId="77777777" w:rsidR="00EE5888" w:rsidRPr="002268DF" w:rsidRDefault="00EE5888" w:rsidP="00EE5888">
            <w:r w:rsidRPr="002268DF">
              <w:t>Cost of maintenance</w:t>
            </w:r>
          </w:p>
        </w:tc>
        <w:tc>
          <w:tcPr>
            <w:tcW w:w="4885" w:type="dxa"/>
          </w:tcPr>
          <w:p w14:paraId="745F7C77" w14:textId="3A20CEE3" w:rsidR="00EE5888" w:rsidRPr="002268DF" w:rsidRDefault="00EE5888" w:rsidP="00EE5888">
            <w:r w:rsidRPr="002268DF">
              <w:t xml:space="preserve">How much the state will have to pay yearly to keep the </w:t>
            </w:r>
            <w:r>
              <w:t>e-payment infrastructure</w:t>
            </w:r>
            <w:r w:rsidRPr="002268DF">
              <w:t xml:space="preserve"> </w:t>
            </w:r>
            <w:r>
              <w:t>functioning</w:t>
            </w:r>
            <w:r w:rsidRPr="002268DF">
              <w:t>?</w:t>
            </w:r>
          </w:p>
        </w:tc>
      </w:tr>
      <w:tr w:rsidR="00EE5888" w:rsidRPr="002268DF" w14:paraId="74A2FF11" w14:textId="77777777" w:rsidTr="00EE5888">
        <w:tc>
          <w:tcPr>
            <w:tcW w:w="516" w:type="dxa"/>
          </w:tcPr>
          <w:p w14:paraId="6ACF2CEE" w14:textId="77777777" w:rsidR="00EE5888" w:rsidRPr="002268DF" w:rsidRDefault="00EE5888" w:rsidP="00EE5888">
            <w:r w:rsidRPr="002268DF">
              <w:t>3.</w:t>
            </w:r>
          </w:p>
        </w:tc>
        <w:tc>
          <w:tcPr>
            <w:tcW w:w="2927" w:type="dxa"/>
          </w:tcPr>
          <w:p w14:paraId="28FB9C66" w14:textId="77777777" w:rsidR="00EE5888" w:rsidRPr="002268DF" w:rsidRDefault="00EE5888" w:rsidP="00EE5888">
            <w:r w:rsidRPr="002268DF">
              <w:t>Implementation timeframe</w:t>
            </w:r>
          </w:p>
        </w:tc>
        <w:tc>
          <w:tcPr>
            <w:tcW w:w="4885" w:type="dxa"/>
          </w:tcPr>
          <w:p w14:paraId="57ABCB4C" w14:textId="77777777" w:rsidR="00EE5888" w:rsidRPr="002268DF" w:rsidRDefault="00EE5888" w:rsidP="00EE5888">
            <w:r w:rsidRPr="002268DF">
              <w:t>How long it will take to implement the system? When it could be potentially launched?</w:t>
            </w:r>
          </w:p>
        </w:tc>
      </w:tr>
      <w:tr w:rsidR="00EE5888" w:rsidRPr="002268DF" w14:paraId="344151AB" w14:textId="77777777" w:rsidTr="00EE5888">
        <w:tc>
          <w:tcPr>
            <w:tcW w:w="516" w:type="dxa"/>
          </w:tcPr>
          <w:p w14:paraId="4F3BB862" w14:textId="77777777" w:rsidR="00EE5888" w:rsidRPr="002268DF" w:rsidRDefault="00EE5888" w:rsidP="00EE5888">
            <w:r w:rsidRPr="002268DF">
              <w:t>7.</w:t>
            </w:r>
          </w:p>
        </w:tc>
        <w:tc>
          <w:tcPr>
            <w:tcW w:w="2927" w:type="dxa"/>
          </w:tcPr>
          <w:p w14:paraId="411D6DBB" w14:textId="77777777" w:rsidR="00EE5888" w:rsidRPr="002268DF" w:rsidRDefault="00EE5888" w:rsidP="00EE5888">
            <w:r w:rsidRPr="002268DF">
              <w:t>Technical support</w:t>
            </w:r>
          </w:p>
        </w:tc>
        <w:tc>
          <w:tcPr>
            <w:tcW w:w="4885" w:type="dxa"/>
          </w:tcPr>
          <w:p w14:paraId="21076884" w14:textId="77777777" w:rsidR="00EE5888" w:rsidRPr="002268DF" w:rsidRDefault="00EE5888" w:rsidP="00EE5888">
            <w:r w:rsidRPr="002268DF">
              <w:t>How the users will be supported in using the Payment Gateway? Who will offer that support?</w:t>
            </w:r>
          </w:p>
        </w:tc>
      </w:tr>
      <w:tr w:rsidR="00EE5888" w:rsidRPr="002268DF" w14:paraId="6BDD759C" w14:textId="77777777" w:rsidTr="00EE5888">
        <w:tc>
          <w:tcPr>
            <w:tcW w:w="516" w:type="dxa"/>
          </w:tcPr>
          <w:p w14:paraId="48E6CC10" w14:textId="77777777" w:rsidR="00EE5888" w:rsidRPr="002268DF" w:rsidRDefault="00EE5888" w:rsidP="00EE5888">
            <w:r w:rsidRPr="002268DF">
              <w:t>8.</w:t>
            </w:r>
          </w:p>
        </w:tc>
        <w:tc>
          <w:tcPr>
            <w:tcW w:w="2927" w:type="dxa"/>
          </w:tcPr>
          <w:p w14:paraId="592F4B77" w14:textId="77777777" w:rsidR="00EE5888" w:rsidRPr="002268DF" w:rsidRDefault="00EE5888" w:rsidP="00EE5888">
            <w:r w:rsidRPr="002268DF">
              <w:t>Private/banking sector uptake</w:t>
            </w:r>
          </w:p>
        </w:tc>
        <w:tc>
          <w:tcPr>
            <w:tcW w:w="4885" w:type="dxa"/>
          </w:tcPr>
          <w:p w14:paraId="066F0347" w14:textId="395D696D" w:rsidR="00EE5888" w:rsidRPr="002268DF" w:rsidRDefault="00EE5888" w:rsidP="00EE5888">
            <w:r w:rsidRPr="002268DF">
              <w:t xml:space="preserve">To what extent the private sector will use this system for their solutions? </w:t>
            </w:r>
          </w:p>
        </w:tc>
      </w:tr>
      <w:tr w:rsidR="00EE5888" w:rsidRPr="002268DF" w14:paraId="342B8A31" w14:textId="77777777" w:rsidTr="00EE5888">
        <w:tc>
          <w:tcPr>
            <w:tcW w:w="516" w:type="dxa"/>
          </w:tcPr>
          <w:p w14:paraId="29F5D211" w14:textId="77777777" w:rsidR="00EE5888" w:rsidRPr="002268DF" w:rsidRDefault="00EE5888" w:rsidP="00EE5888">
            <w:r w:rsidRPr="002268DF">
              <w:t>9.</w:t>
            </w:r>
          </w:p>
        </w:tc>
        <w:tc>
          <w:tcPr>
            <w:tcW w:w="2927" w:type="dxa"/>
          </w:tcPr>
          <w:p w14:paraId="56889B55" w14:textId="77777777" w:rsidR="00EE5888" w:rsidRPr="002268DF" w:rsidRDefault="00EE5888" w:rsidP="00EE5888">
            <w:r w:rsidRPr="002268DF">
              <w:t>Security</w:t>
            </w:r>
          </w:p>
        </w:tc>
        <w:tc>
          <w:tcPr>
            <w:tcW w:w="4885" w:type="dxa"/>
          </w:tcPr>
          <w:p w14:paraId="51BBFED1" w14:textId="4C0BE10B" w:rsidR="00EE5888" w:rsidRPr="002268DF" w:rsidRDefault="00EE5888" w:rsidP="00EE5888">
            <w:r>
              <w:t>What additional security measures should be taken to ensure a reliable and secure functionality of the system?</w:t>
            </w:r>
          </w:p>
        </w:tc>
      </w:tr>
    </w:tbl>
    <w:p w14:paraId="6A15EAA4" w14:textId="77777777" w:rsidR="00EE5888" w:rsidRDefault="00EE5888" w:rsidP="00EE5888">
      <w:pPr>
        <w:rPr>
          <w:highlight w:val="yellow"/>
        </w:rPr>
      </w:pPr>
    </w:p>
    <w:p w14:paraId="7EC532CB" w14:textId="5569E18C" w:rsidR="00EE5888" w:rsidRPr="00EE5888" w:rsidRDefault="00EE5888" w:rsidP="00EE5888">
      <w:r w:rsidRPr="00EE5888">
        <w:t>Planned next steps are:</w:t>
      </w:r>
    </w:p>
    <w:p w14:paraId="09FDAA21" w14:textId="77777777" w:rsidR="00EE5888" w:rsidRPr="00EE5888" w:rsidRDefault="00EE5888" w:rsidP="00EE5888"/>
    <w:p w14:paraId="42175863" w14:textId="611D2BDC" w:rsidR="00F318AD" w:rsidRPr="001A4A56" w:rsidRDefault="00F318AD" w:rsidP="00F318AD">
      <w:pPr>
        <w:pStyle w:val="ListParagraph"/>
        <w:numPr>
          <w:ilvl w:val="0"/>
          <w:numId w:val="5"/>
        </w:numPr>
        <w:rPr>
          <w:rFonts w:cs="Times New Roman"/>
        </w:rPr>
      </w:pPr>
      <w:r w:rsidRPr="001A4A56">
        <w:rPr>
          <w:rFonts w:cs="Times New Roman"/>
        </w:rPr>
        <w:t xml:space="preserve">To consult </w:t>
      </w:r>
      <w:r>
        <w:rPr>
          <w:rFonts w:cs="Times New Roman"/>
        </w:rPr>
        <w:t>and validate with National Bank of Moldova the approach on e-payment.</w:t>
      </w:r>
    </w:p>
    <w:p w14:paraId="39B263D3" w14:textId="738776B5" w:rsidR="009B25BF" w:rsidRPr="001A4A56" w:rsidRDefault="009B25BF" w:rsidP="001A4A56">
      <w:pPr>
        <w:pStyle w:val="ListParagraph"/>
        <w:numPr>
          <w:ilvl w:val="0"/>
          <w:numId w:val="5"/>
        </w:numPr>
        <w:rPr>
          <w:rFonts w:cs="Times New Roman"/>
        </w:rPr>
      </w:pPr>
      <w:r w:rsidRPr="001A4A56">
        <w:rPr>
          <w:rFonts w:cs="Times New Roman"/>
        </w:rPr>
        <w:t xml:space="preserve">To consult private sector, </w:t>
      </w:r>
      <w:r w:rsidR="00FD1867">
        <w:rPr>
          <w:rFonts w:cs="Times New Roman"/>
        </w:rPr>
        <w:t>including</w:t>
      </w:r>
      <w:r w:rsidRPr="001A4A56">
        <w:rPr>
          <w:rFonts w:cs="Times New Roman"/>
        </w:rPr>
        <w:t xml:space="preserve"> commercial banks</w:t>
      </w:r>
      <w:r w:rsidR="006D1475" w:rsidRPr="001A4A56">
        <w:rPr>
          <w:rFonts w:cs="Times New Roman"/>
        </w:rPr>
        <w:t xml:space="preserve"> (</w:t>
      </w:r>
      <w:r w:rsidR="00227200" w:rsidRPr="001A4A56">
        <w:rPr>
          <w:rFonts w:cs="Times New Roman"/>
        </w:rPr>
        <w:t>mid July 2011</w:t>
      </w:r>
      <w:r w:rsidR="006D1475" w:rsidRPr="001A4A56">
        <w:rPr>
          <w:rFonts w:cs="Times New Roman"/>
        </w:rPr>
        <w:t>)</w:t>
      </w:r>
      <w:r w:rsidRPr="001A4A56">
        <w:rPr>
          <w:rFonts w:cs="Times New Roman"/>
        </w:rPr>
        <w:t>, on:</w:t>
      </w:r>
    </w:p>
    <w:p w14:paraId="39B263D4" w14:textId="77777777" w:rsidR="009B25BF" w:rsidRDefault="009B25BF" w:rsidP="001A4A56">
      <w:pPr>
        <w:pStyle w:val="ListParagraph"/>
        <w:numPr>
          <w:ilvl w:val="1"/>
          <w:numId w:val="5"/>
        </w:numPr>
        <w:rPr>
          <w:rFonts w:cs="Times New Roman"/>
        </w:rPr>
      </w:pPr>
      <w:r w:rsidRPr="001A4A56">
        <w:rPr>
          <w:rFonts w:cs="Times New Roman"/>
        </w:rPr>
        <w:t>Would they be interest</w:t>
      </w:r>
      <w:r w:rsidR="001A4180" w:rsidRPr="001A4A56">
        <w:rPr>
          <w:rFonts w:cs="Times New Roman"/>
        </w:rPr>
        <w:t>ed</w:t>
      </w:r>
      <w:r w:rsidR="00227200" w:rsidRPr="001A4A56">
        <w:rPr>
          <w:rFonts w:cs="Times New Roman"/>
        </w:rPr>
        <w:t xml:space="preserve"> to participate in the scheme as Payment Providers</w:t>
      </w:r>
      <w:r w:rsidRPr="001A4A56">
        <w:rPr>
          <w:rFonts w:cs="Times New Roman"/>
        </w:rPr>
        <w:t>?</w:t>
      </w:r>
    </w:p>
    <w:p w14:paraId="2E986E99" w14:textId="28D7B2EF" w:rsidR="00E77343" w:rsidRPr="001A4A56" w:rsidRDefault="00E77343" w:rsidP="001A4A56">
      <w:pPr>
        <w:pStyle w:val="ListParagraph"/>
        <w:numPr>
          <w:ilvl w:val="1"/>
          <w:numId w:val="5"/>
        </w:numPr>
        <w:rPr>
          <w:rFonts w:cs="Times New Roman"/>
        </w:rPr>
      </w:pPr>
      <w:r>
        <w:rPr>
          <w:rFonts w:cs="Times New Roman"/>
        </w:rPr>
        <w:t xml:space="preserve">What sustainability model for the </w:t>
      </w:r>
      <w:proofErr w:type="spellStart"/>
      <w:r>
        <w:rPr>
          <w:rFonts w:cs="Times New Roman"/>
        </w:rPr>
        <w:t>GePG</w:t>
      </w:r>
      <w:proofErr w:type="spellEnd"/>
      <w:r>
        <w:rPr>
          <w:rFonts w:cs="Times New Roman"/>
        </w:rPr>
        <w:t xml:space="preserve"> would they recommend?</w:t>
      </w:r>
    </w:p>
    <w:p w14:paraId="1B082092" w14:textId="4B1546EB" w:rsidR="00FD1867" w:rsidRPr="001A4A56" w:rsidRDefault="00FD1867" w:rsidP="00FD1867">
      <w:pPr>
        <w:pStyle w:val="ListParagraph"/>
        <w:numPr>
          <w:ilvl w:val="0"/>
          <w:numId w:val="5"/>
        </w:numPr>
        <w:rPr>
          <w:rFonts w:cs="Times New Roman"/>
        </w:rPr>
      </w:pPr>
      <w:r w:rsidRPr="001A4A56">
        <w:rPr>
          <w:rFonts w:cs="Times New Roman"/>
        </w:rPr>
        <w:t xml:space="preserve">To consult private </w:t>
      </w:r>
      <w:r>
        <w:rPr>
          <w:rFonts w:cs="Times New Roman"/>
        </w:rPr>
        <w:t>companies</w:t>
      </w:r>
      <w:r w:rsidRPr="001A4A56">
        <w:rPr>
          <w:rFonts w:cs="Times New Roman"/>
        </w:rPr>
        <w:t xml:space="preserve"> (mid July 2011), on:</w:t>
      </w:r>
    </w:p>
    <w:p w14:paraId="21D62FB9" w14:textId="3635FC9C" w:rsidR="00FD1867" w:rsidRDefault="00FD1867" w:rsidP="00FD1867">
      <w:pPr>
        <w:pStyle w:val="ListParagraph"/>
        <w:numPr>
          <w:ilvl w:val="1"/>
          <w:numId w:val="5"/>
        </w:numPr>
        <w:rPr>
          <w:rFonts w:cs="Times New Roman"/>
        </w:rPr>
      </w:pPr>
      <w:r w:rsidRPr="001A4A56">
        <w:rPr>
          <w:rFonts w:cs="Times New Roman"/>
        </w:rPr>
        <w:t xml:space="preserve">Would they be interested to participate in the scheme as </w:t>
      </w:r>
      <w:r>
        <w:rPr>
          <w:rFonts w:cs="Times New Roman"/>
        </w:rPr>
        <w:t xml:space="preserve">merchants in e-commerce scenarios using </w:t>
      </w:r>
      <w:proofErr w:type="spellStart"/>
      <w:r w:rsidR="009F2A90">
        <w:rPr>
          <w:rFonts w:cs="Times New Roman"/>
        </w:rPr>
        <w:t>G</w:t>
      </w:r>
      <w:r>
        <w:rPr>
          <w:rFonts w:cs="Times New Roman"/>
        </w:rPr>
        <w:t>ePG</w:t>
      </w:r>
      <w:proofErr w:type="spellEnd"/>
      <w:r w:rsidRPr="001A4A56">
        <w:rPr>
          <w:rFonts w:cs="Times New Roman"/>
        </w:rPr>
        <w:t>?</w:t>
      </w:r>
    </w:p>
    <w:p w14:paraId="10A87266" w14:textId="77777777" w:rsidR="00E77343" w:rsidRDefault="00E77343" w:rsidP="00E77343">
      <w:pPr>
        <w:pStyle w:val="ListParagraph"/>
        <w:numPr>
          <w:ilvl w:val="1"/>
          <w:numId w:val="5"/>
        </w:numPr>
        <w:rPr>
          <w:rFonts w:cs="Times New Roman"/>
        </w:rPr>
      </w:pPr>
      <w:r>
        <w:rPr>
          <w:rFonts w:cs="Times New Roman"/>
        </w:rPr>
        <w:t xml:space="preserve">What sustainability model for the </w:t>
      </w:r>
      <w:proofErr w:type="spellStart"/>
      <w:r>
        <w:rPr>
          <w:rFonts w:cs="Times New Roman"/>
        </w:rPr>
        <w:t>GePG</w:t>
      </w:r>
      <w:proofErr w:type="spellEnd"/>
      <w:r>
        <w:rPr>
          <w:rFonts w:cs="Times New Roman"/>
        </w:rPr>
        <w:t xml:space="preserve"> would they recommend?</w:t>
      </w:r>
    </w:p>
    <w:p w14:paraId="78B72523" w14:textId="3E38C6AB" w:rsidR="0027253E" w:rsidRPr="001A4A56" w:rsidRDefault="0027253E" w:rsidP="0027253E">
      <w:pPr>
        <w:pStyle w:val="ListParagraph"/>
        <w:numPr>
          <w:ilvl w:val="0"/>
          <w:numId w:val="5"/>
        </w:numPr>
        <w:rPr>
          <w:rFonts w:cs="Times New Roman"/>
        </w:rPr>
      </w:pPr>
      <w:r>
        <w:rPr>
          <w:rFonts w:cs="Times New Roman"/>
        </w:rPr>
        <w:t xml:space="preserve">To consult public institutions which currently offer electronic services with offline payment on the proposed </w:t>
      </w:r>
      <w:proofErr w:type="gramStart"/>
      <w:r>
        <w:rPr>
          <w:rFonts w:cs="Times New Roman"/>
        </w:rPr>
        <w:t>model.</w:t>
      </w:r>
      <w:proofErr w:type="gramEnd"/>
    </w:p>
    <w:p w14:paraId="39B263D7" w14:textId="1930F2BB" w:rsidR="009B25BF" w:rsidRPr="001A4A56" w:rsidRDefault="0022244F" w:rsidP="001A4A56">
      <w:pPr>
        <w:pStyle w:val="ListParagraph"/>
        <w:numPr>
          <w:ilvl w:val="0"/>
          <w:numId w:val="5"/>
        </w:numPr>
        <w:rPr>
          <w:rFonts w:cs="Times New Roman"/>
        </w:rPr>
      </w:pPr>
      <w:r w:rsidRPr="001A4A56">
        <w:rPr>
          <w:rFonts w:cs="Times New Roman"/>
        </w:rPr>
        <w:t>To</w:t>
      </w:r>
      <w:r w:rsidR="009B25BF" w:rsidRPr="001A4A56">
        <w:rPr>
          <w:rFonts w:cs="Times New Roman"/>
        </w:rPr>
        <w:t xml:space="preserve"> identify what are the </w:t>
      </w:r>
      <w:r w:rsidRPr="001A4A56">
        <w:rPr>
          <w:rFonts w:cs="Times New Roman"/>
        </w:rPr>
        <w:t xml:space="preserve">required </w:t>
      </w:r>
      <w:r w:rsidR="009B25BF" w:rsidRPr="001A4A56">
        <w:rPr>
          <w:rFonts w:cs="Times New Roman"/>
        </w:rPr>
        <w:t>changes</w:t>
      </w:r>
      <w:r w:rsidR="00FD1867">
        <w:rPr>
          <w:rFonts w:cs="Times New Roman"/>
        </w:rPr>
        <w:t>/updates</w:t>
      </w:r>
      <w:r w:rsidR="009B25BF" w:rsidRPr="001A4A56">
        <w:rPr>
          <w:rFonts w:cs="Times New Roman"/>
        </w:rPr>
        <w:t xml:space="preserve"> in </w:t>
      </w:r>
      <w:r w:rsidRPr="001A4A56">
        <w:rPr>
          <w:rFonts w:cs="Times New Roman"/>
        </w:rPr>
        <w:t xml:space="preserve">the </w:t>
      </w:r>
      <w:r w:rsidR="009B25BF" w:rsidRPr="001A4A56">
        <w:rPr>
          <w:rFonts w:cs="Times New Roman"/>
        </w:rPr>
        <w:t>regulatory framework</w:t>
      </w:r>
      <w:r w:rsidR="006D1475" w:rsidRPr="001A4A56">
        <w:rPr>
          <w:rFonts w:cs="Times New Roman"/>
        </w:rPr>
        <w:t xml:space="preserve"> and how the changes should be adopted (mid </w:t>
      </w:r>
      <w:r w:rsidR="00227200" w:rsidRPr="001A4A56">
        <w:rPr>
          <w:rFonts w:cs="Times New Roman"/>
        </w:rPr>
        <w:t xml:space="preserve">July </w:t>
      </w:r>
      <w:r w:rsidR="006D1475" w:rsidRPr="001A4A56">
        <w:rPr>
          <w:rFonts w:cs="Times New Roman"/>
        </w:rPr>
        <w:t>2011)</w:t>
      </w:r>
      <w:r w:rsidR="009B25BF" w:rsidRPr="001A4A56">
        <w:rPr>
          <w:rFonts w:cs="Times New Roman"/>
        </w:rPr>
        <w:t>.</w:t>
      </w:r>
    </w:p>
    <w:p w14:paraId="39B263D9" w14:textId="77777777" w:rsidR="009B25BF" w:rsidRPr="004E0CA2" w:rsidRDefault="009B25BF" w:rsidP="0028126B">
      <w:pPr>
        <w:pStyle w:val="Heading1"/>
      </w:pPr>
      <w:r w:rsidRPr="004E0CA2">
        <w:t>References</w:t>
      </w:r>
    </w:p>
    <w:p w14:paraId="39B263DA" w14:textId="2008BFB7" w:rsidR="009B25BF" w:rsidRPr="001A4A56" w:rsidRDefault="002268DF" w:rsidP="001A4A56">
      <w:pPr>
        <w:pStyle w:val="ListParagraph"/>
        <w:numPr>
          <w:ilvl w:val="0"/>
          <w:numId w:val="3"/>
        </w:numPr>
        <w:rPr>
          <w:rFonts w:cs="Times New Roman"/>
        </w:rPr>
      </w:pPr>
      <w:proofErr w:type="spellStart"/>
      <w:r w:rsidRPr="001A4A56">
        <w:rPr>
          <w:rFonts w:cs="Times New Roman"/>
        </w:rPr>
        <w:t>Proiect</w:t>
      </w:r>
      <w:proofErr w:type="spellEnd"/>
      <w:r w:rsidRPr="001A4A56">
        <w:rPr>
          <w:rFonts w:cs="Times New Roman"/>
        </w:rPr>
        <w:t xml:space="preserve"> </w:t>
      </w:r>
      <w:proofErr w:type="spellStart"/>
      <w:r w:rsidRPr="001A4A56">
        <w:rPr>
          <w:rFonts w:cs="Times New Roman"/>
        </w:rPr>
        <w:t>L</w:t>
      </w:r>
      <w:r w:rsidR="00B63241">
        <w:rPr>
          <w:rFonts w:cs="Times New Roman"/>
        </w:rPr>
        <w:t>egea</w:t>
      </w:r>
      <w:proofErr w:type="spellEnd"/>
      <w:r w:rsidRPr="001A4A56">
        <w:rPr>
          <w:rFonts w:cs="Times New Roman"/>
        </w:rPr>
        <w:t xml:space="preserve"> cu </w:t>
      </w:r>
      <w:proofErr w:type="spellStart"/>
      <w:r w:rsidRPr="001A4A56">
        <w:rPr>
          <w:rFonts w:cs="Times New Roman"/>
        </w:rPr>
        <w:t>privire</w:t>
      </w:r>
      <w:proofErr w:type="spellEnd"/>
      <w:r w:rsidRPr="001A4A56">
        <w:rPr>
          <w:rFonts w:cs="Times New Roman"/>
        </w:rPr>
        <w:t xml:space="preserve"> la </w:t>
      </w:r>
      <w:proofErr w:type="spellStart"/>
      <w:r w:rsidRPr="001A4A56">
        <w:rPr>
          <w:rFonts w:cs="Times New Roman"/>
        </w:rPr>
        <w:t>serviciile</w:t>
      </w:r>
      <w:proofErr w:type="spellEnd"/>
      <w:r w:rsidRPr="001A4A56">
        <w:rPr>
          <w:rFonts w:cs="Times New Roman"/>
        </w:rPr>
        <w:t xml:space="preserve"> de </w:t>
      </w:r>
      <w:proofErr w:type="spellStart"/>
      <w:r w:rsidRPr="001A4A56">
        <w:rPr>
          <w:rFonts w:cs="Times New Roman"/>
        </w:rPr>
        <w:t>plată</w:t>
      </w:r>
      <w:proofErr w:type="spellEnd"/>
      <w:r w:rsidRPr="001A4A56">
        <w:rPr>
          <w:rFonts w:cs="Times New Roman"/>
        </w:rPr>
        <w:t xml:space="preserve"> </w:t>
      </w:r>
      <w:proofErr w:type="spellStart"/>
      <w:r w:rsidRPr="001A4A56">
        <w:rPr>
          <w:rFonts w:cs="Times New Roman"/>
        </w:rPr>
        <w:t>şi</w:t>
      </w:r>
      <w:proofErr w:type="spellEnd"/>
      <w:r w:rsidRPr="001A4A56">
        <w:rPr>
          <w:rFonts w:cs="Times New Roman"/>
        </w:rPr>
        <w:t xml:space="preserve"> </w:t>
      </w:r>
      <w:proofErr w:type="spellStart"/>
      <w:r w:rsidRPr="001A4A56">
        <w:rPr>
          <w:rFonts w:cs="Times New Roman"/>
        </w:rPr>
        <w:t>moneda</w:t>
      </w:r>
      <w:proofErr w:type="spellEnd"/>
      <w:r w:rsidRPr="001A4A56">
        <w:rPr>
          <w:rFonts w:cs="Times New Roman"/>
        </w:rPr>
        <w:t xml:space="preserve"> </w:t>
      </w:r>
      <w:proofErr w:type="spellStart"/>
      <w:r w:rsidRPr="001A4A56">
        <w:rPr>
          <w:rFonts w:cs="Times New Roman"/>
        </w:rPr>
        <w:t>electronică</w:t>
      </w:r>
      <w:proofErr w:type="spellEnd"/>
      <w:r w:rsidR="009B25BF" w:rsidRPr="001A4A56">
        <w:rPr>
          <w:rFonts w:cs="Times New Roman"/>
        </w:rPr>
        <w:t xml:space="preserve"> </w:t>
      </w:r>
    </w:p>
    <w:sectPr w:rsidR="009B25BF" w:rsidRPr="001A4A56" w:rsidSect="0094383B">
      <w:headerReference w:type="default" r:id="rId16"/>
      <w:footerReference w:type="default" r:id="rId17"/>
      <w:pgSz w:w="11907" w:h="16839" w:code="9"/>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82404" w14:textId="77777777" w:rsidR="0058755E" w:rsidRDefault="0058755E" w:rsidP="0028126B">
      <w:r>
        <w:separator/>
      </w:r>
    </w:p>
  </w:endnote>
  <w:endnote w:type="continuationSeparator" w:id="0">
    <w:p w14:paraId="5ABA82B7" w14:textId="77777777" w:rsidR="0058755E" w:rsidRDefault="0058755E" w:rsidP="0028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97612"/>
      <w:docPartObj>
        <w:docPartGallery w:val="Page Numbers (Bottom of Page)"/>
        <w:docPartUnique/>
      </w:docPartObj>
    </w:sdtPr>
    <w:sdtEndPr/>
    <w:sdtContent>
      <w:p w14:paraId="39B263F7" w14:textId="77777777" w:rsidR="00196359" w:rsidRDefault="00196359" w:rsidP="0028126B">
        <w:pPr>
          <w:pStyle w:val="Footer"/>
        </w:pPr>
        <w:r>
          <w:fldChar w:fldCharType="begin"/>
        </w:r>
        <w:r>
          <w:instrText xml:space="preserve"> PAGE   \* MERGEFORMAT </w:instrText>
        </w:r>
        <w:r>
          <w:fldChar w:fldCharType="separate"/>
        </w:r>
        <w:r w:rsidR="00224881">
          <w:rPr>
            <w:noProof/>
          </w:rPr>
          <w:t>1</w:t>
        </w:r>
        <w:r>
          <w:rPr>
            <w:noProof/>
          </w:rPr>
          <w:fldChar w:fldCharType="end"/>
        </w:r>
      </w:p>
    </w:sdtContent>
  </w:sdt>
  <w:p w14:paraId="39B263F8" w14:textId="77777777" w:rsidR="00196359" w:rsidRDefault="00196359" w:rsidP="002812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652E2" w14:textId="77777777" w:rsidR="0058755E" w:rsidRDefault="0058755E" w:rsidP="0028126B">
      <w:r>
        <w:separator/>
      </w:r>
    </w:p>
  </w:footnote>
  <w:footnote w:type="continuationSeparator" w:id="0">
    <w:p w14:paraId="0855BDBE" w14:textId="77777777" w:rsidR="0058755E" w:rsidRDefault="0058755E" w:rsidP="0028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263F2" w14:textId="77777777" w:rsidR="00196359" w:rsidRDefault="0058755E" w:rsidP="0028126B">
    <w:sdt>
      <w:sdtPr>
        <w:id w:val="113397611"/>
        <w:docPartObj>
          <w:docPartGallery w:val="Watermarks"/>
          <w:docPartUnique/>
        </w:docPartObj>
      </w:sdtPr>
      <w:sdtEndPr/>
      <w:sdtContent>
        <w:r>
          <w:rPr>
            <w:noProof/>
            <w:lang w:eastAsia="zh-TW"/>
          </w:rPr>
          <w:pict w14:anchorId="39B26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96359">
      <w:rPr>
        <w:noProof/>
      </w:rPr>
      <w:drawing>
        <wp:anchor distT="0" distB="0" distL="114300" distR="114300" simplePos="0" relativeHeight="251656704" behindDoc="0" locked="0" layoutInCell="1" allowOverlap="1" wp14:anchorId="39B263FA" wp14:editId="39B263FB">
          <wp:simplePos x="0" y="0"/>
          <wp:positionH relativeFrom="column">
            <wp:posOffset>31115</wp:posOffset>
          </wp:positionH>
          <wp:positionV relativeFrom="paragraph">
            <wp:posOffset>8890</wp:posOffset>
          </wp:positionV>
          <wp:extent cx="791210" cy="727710"/>
          <wp:effectExtent l="0" t="0" r="8890" b="0"/>
          <wp:wrapNone/>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727710"/>
                  </a:xfrm>
                  <a:prstGeom prst="rect">
                    <a:avLst/>
                  </a:prstGeom>
                  <a:noFill/>
                  <a:ln>
                    <a:noFill/>
                  </a:ln>
                </pic:spPr>
              </pic:pic>
            </a:graphicData>
          </a:graphic>
        </wp:anchor>
      </w:drawing>
    </w:r>
  </w:p>
  <w:p w14:paraId="39B263F3" w14:textId="77777777" w:rsidR="00196359" w:rsidRDefault="00196359" w:rsidP="0028126B">
    <w:r>
      <w:rPr>
        <w:noProof/>
      </w:rPr>
      <w:drawing>
        <wp:anchor distT="0" distB="0" distL="114300" distR="114300" simplePos="0" relativeHeight="251657728" behindDoc="0" locked="0" layoutInCell="1" allowOverlap="1" wp14:anchorId="39B263FC" wp14:editId="39B263FD">
          <wp:simplePos x="0" y="0"/>
          <wp:positionH relativeFrom="column">
            <wp:posOffset>976582</wp:posOffset>
          </wp:positionH>
          <wp:positionV relativeFrom="paragraph">
            <wp:posOffset>37034</wp:posOffset>
          </wp:positionV>
          <wp:extent cx="3691714" cy="257306"/>
          <wp:effectExtent l="19050" t="0" r="3986"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91714" cy="257306"/>
                  </a:xfrm>
                  <a:prstGeom prst="rect">
                    <a:avLst/>
                  </a:prstGeom>
                  <a:noFill/>
                  <a:ln>
                    <a:noFill/>
                  </a:ln>
                </pic:spPr>
              </pic:pic>
            </a:graphicData>
          </a:graphic>
        </wp:anchor>
      </w:drawing>
    </w:r>
  </w:p>
  <w:p w14:paraId="39B263F4" w14:textId="77777777" w:rsidR="00196359" w:rsidRDefault="00196359" w:rsidP="0028126B"/>
  <w:p w14:paraId="39B263F5" w14:textId="77777777" w:rsidR="00196359" w:rsidRDefault="00196359" w:rsidP="0028126B"/>
  <w:p w14:paraId="39B263F6" w14:textId="77777777" w:rsidR="00196359" w:rsidRPr="000E130D" w:rsidRDefault="00196359" w:rsidP="0028126B">
    <w:pPr>
      <w:pStyle w:val="Head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0CEE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873352"/>
    <w:multiLevelType w:val="hybridMultilevel"/>
    <w:tmpl w:val="AF3AD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05196"/>
    <w:multiLevelType w:val="hybridMultilevel"/>
    <w:tmpl w:val="4F3E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F12F2"/>
    <w:multiLevelType w:val="hybridMultilevel"/>
    <w:tmpl w:val="5748E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D1E22"/>
    <w:multiLevelType w:val="hybridMultilevel"/>
    <w:tmpl w:val="8AFA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E2BF9"/>
    <w:multiLevelType w:val="hybridMultilevel"/>
    <w:tmpl w:val="3BE42D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F37A6"/>
    <w:multiLevelType w:val="hybridMultilevel"/>
    <w:tmpl w:val="5748E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50CD4"/>
    <w:multiLevelType w:val="hybridMultilevel"/>
    <w:tmpl w:val="DFD82520"/>
    <w:lvl w:ilvl="0" w:tplc="BCB27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C1E57"/>
    <w:multiLevelType w:val="hybridMultilevel"/>
    <w:tmpl w:val="2FA8C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ED4D77"/>
    <w:multiLevelType w:val="hybridMultilevel"/>
    <w:tmpl w:val="D29A1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B0CD0"/>
    <w:multiLevelType w:val="hybridMultilevel"/>
    <w:tmpl w:val="AA7CD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74137"/>
    <w:multiLevelType w:val="hybridMultilevel"/>
    <w:tmpl w:val="F350F69A"/>
    <w:lvl w:ilvl="0" w:tplc="AEB87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01633"/>
    <w:multiLevelType w:val="hybridMultilevel"/>
    <w:tmpl w:val="BA6AE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B73A8"/>
    <w:multiLevelType w:val="hybridMultilevel"/>
    <w:tmpl w:val="AF166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B60FC"/>
    <w:multiLevelType w:val="hybridMultilevel"/>
    <w:tmpl w:val="2EB2DD92"/>
    <w:lvl w:ilvl="0" w:tplc="800E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51308"/>
    <w:multiLevelType w:val="hybridMultilevel"/>
    <w:tmpl w:val="9AFC49E6"/>
    <w:lvl w:ilvl="0" w:tplc="8E561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B84950"/>
    <w:multiLevelType w:val="hybridMultilevel"/>
    <w:tmpl w:val="978C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2B1CC3"/>
    <w:multiLevelType w:val="hybridMultilevel"/>
    <w:tmpl w:val="345E7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4"/>
  </w:num>
  <w:num w:numId="5">
    <w:abstractNumId w:val="7"/>
  </w:num>
  <w:num w:numId="6">
    <w:abstractNumId w:val="2"/>
  </w:num>
  <w:num w:numId="7">
    <w:abstractNumId w:val="11"/>
  </w:num>
  <w:num w:numId="8">
    <w:abstractNumId w:val="12"/>
  </w:num>
  <w:num w:numId="9">
    <w:abstractNumId w:val="16"/>
  </w:num>
  <w:num w:numId="10">
    <w:abstractNumId w:val="13"/>
  </w:num>
  <w:num w:numId="11">
    <w:abstractNumId w:val="17"/>
  </w:num>
  <w:num w:numId="12">
    <w:abstractNumId w:val="9"/>
  </w:num>
  <w:num w:numId="13">
    <w:abstractNumId w:val="1"/>
  </w:num>
  <w:num w:numId="14">
    <w:abstractNumId w:val="8"/>
  </w:num>
  <w:num w:numId="15">
    <w:abstractNumId w:val="6"/>
  </w:num>
  <w:num w:numId="16">
    <w:abstractNumId w:val="4"/>
  </w:num>
  <w:num w:numId="17">
    <w:abstractNumId w:val="3"/>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2" style="mso-width-relative:margin;mso-height-relative:margin" fillcolor="white" stroke="f">
      <v:fill color="white"/>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0D"/>
    <w:rsid w:val="00001143"/>
    <w:rsid w:val="00003308"/>
    <w:rsid w:val="00003C7D"/>
    <w:rsid w:val="00005206"/>
    <w:rsid w:val="00013893"/>
    <w:rsid w:val="00020582"/>
    <w:rsid w:val="000205E9"/>
    <w:rsid w:val="00022BED"/>
    <w:rsid w:val="00024D46"/>
    <w:rsid w:val="00025FA0"/>
    <w:rsid w:val="00026A98"/>
    <w:rsid w:val="00026ABE"/>
    <w:rsid w:val="00027185"/>
    <w:rsid w:val="00031510"/>
    <w:rsid w:val="00033FFE"/>
    <w:rsid w:val="00034E2C"/>
    <w:rsid w:val="00040586"/>
    <w:rsid w:val="00041306"/>
    <w:rsid w:val="00041B6C"/>
    <w:rsid w:val="0004341D"/>
    <w:rsid w:val="00043BFF"/>
    <w:rsid w:val="00057ADD"/>
    <w:rsid w:val="00063850"/>
    <w:rsid w:val="00065933"/>
    <w:rsid w:val="00066C0E"/>
    <w:rsid w:val="00066D61"/>
    <w:rsid w:val="0006767A"/>
    <w:rsid w:val="00073833"/>
    <w:rsid w:val="000775C8"/>
    <w:rsid w:val="000845BF"/>
    <w:rsid w:val="000848F1"/>
    <w:rsid w:val="000925C1"/>
    <w:rsid w:val="00093117"/>
    <w:rsid w:val="0009503C"/>
    <w:rsid w:val="000A160D"/>
    <w:rsid w:val="000A1B23"/>
    <w:rsid w:val="000A27D9"/>
    <w:rsid w:val="000A38D4"/>
    <w:rsid w:val="000A4390"/>
    <w:rsid w:val="000B06C4"/>
    <w:rsid w:val="000B39D7"/>
    <w:rsid w:val="000B69A5"/>
    <w:rsid w:val="000C1236"/>
    <w:rsid w:val="000C5227"/>
    <w:rsid w:val="000D00A6"/>
    <w:rsid w:val="000D5B8A"/>
    <w:rsid w:val="000E130D"/>
    <w:rsid w:val="000E19FE"/>
    <w:rsid w:val="000E4B99"/>
    <w:rsid w:val="000E74F4"/>
    <w:rsid w:val="000F145C"/>
    <w:rsid w:val="000F1B4A"/>
    <w:rsid w:val="000F1C40"/>
    <w:rsid w:val="000F2D43"/>
    <w:rsid w:val="000F51F4"/>
    <w:rsid w:val="000F711E"/>
    <w:rsid w:val="001030BC"/>
    <w:rsid w:val="00103588"/>
    <w:rsid w:val="00103DC7"/>
    <w:rsid w:val="00104EDB"/>
    <w:rsid w:val="00111ABD"/>
    <w:rsid w:val="00111B5D"/>
    <w:rsid w:val="001169D4"/>
    <w:rsid w:val="00117A3F"/>
    <w:rsid w:val="00122E0B"/>
    <w:rsid w:val="00122F8D"/>
    <w:rsid w:val="00126BB9"/>
    <w:rsid w:val="0013180C"/>
    <w:rsid w:val="00131A37"/>
    <w:rsid w:val="00132018"/>
    <w:rsid w:val="0013379C"/>
    <w:rsid w:val="00133F3C"/>
    <w:rsid w:val="0013484C"/>
    <w:rsid w:val="0013754F"/>
    <w:rsid w:val="001436B2"/>
    <w:rsid w:val="00144F18"/>
    <w:rsid w:val="00154625"/>
    <w:rsid w:val="00162122"/>
    <w:rsid w:val="0016373F"/>
    <w:rsid w:val="001654FB"/>
    <w:rsid w:val="00175C13"/>
    <w:rsid w:val="0017659E"/>
    <w:rsid w:val="00177BB4"/>
    <w:rsid w:val="00177F1B"/>
    <w:rsid w:val="00180214"/>
    <w:rsid w:val="001835F6"/>
    <w:rsid w:val="00183EE9"/>
    <w:rsid w:val="0018510D"/>
    <w:rsid w:val="0018759A"/>
    <w:rsid w:val="00190318"/>
    <w:rsid w:val="0019435C"/>
    <w:rsid w:val="00196359"/>
    <w:rsid w:val="001A0302"/>
    <w:rsid w:val="001A2B62"/>
    <w:rsid w:val="001A395A"/>
    <w:rsid w:val="001A3C84"/>
    <w:rsid w:val="001A4180"/>
    <w:rsid w:val="001A4A56"/>
    <w:rsid w:val="001A4DA3"/>
    <w:rsid w:val="001B4370"/>
    <w:rsid w:val="001B4FF6"/>
    <w:rsid w:val="001B5B72"/>
    <w:rsid w:val="001B705D"/>
    <w:rsid w:val="001C049F"/>
    <w:rsid w:val="001C123E"/>
    <w:rsid w:val="001D1BE9"/>
    <w:rsid w:val="001D1FFF"/>
    <w:rsid w:val="001D5F1E"/>
    <w:rsid w:val="001D78B1"/>
    <w:rsid w:val="001E112E"/>
    <w:rsid w:val="001E3FAF"/>
    <w:rsid w:val="001F589B"/>
    <w:rsid w:val="002017FA"/>
    <w:rsid w:val="00204637"/>
    <w:rsid w:val="0020506E"/>
    <w:rsid w:val="00206DAA"/>
    <w:rsid w:val="00206E6A"/>
    <w:rsid w:val="00216DC6"/>
    <w:rsid w:val="00216E57"/>
    <w:rsid w:val="00220EA9"/>
    <w:rsid w:val="00221122"/>
    <w:rsid w:val="0022244F"/>
    <w:rsid w:val="002240BD"/>
    <w:rsid w:val="00224881"/>
    <w:rsid w:val="002268DF"/>
    <w:rsid w:val="00227200"/>
    <w:rsid w:val="00227B61"/>
    <w:rsid w:val="00231B01"/>
    <w:rsid w:val="002368CA"/>
    <w:rsid w:val="00244D48"/>
    <w:rsid w:val="00250B7D"/>
    <w:rsid w:val="00252A03"/>
    <w:rsid w:val="00255C04"/>
    <w:rsid w:val="0026073E"/>
    <w:rsid w:val="002676F8"/>
    <w:rsid w:val="0027253E"/>
    <w:rsid w:val="002739C1"/>
    <w:rsid w:val="00276CC1"/>
    <w:rsid w:val="0028126B"/>
    <w:rsid w:val="00281718"/>
    <w:rsid w:val="002833BF"/>
    <w:rsid w:val="00284A3F"/>
    <w:rsid w:val="0028786C"/>
    <w:rsid w:val="002908C4"/>
    <w:rsid w:val="002945D1"/>
    <w:rsid w:val="00296BDF"/>
    <w:rsid w:val="002A5857"/>
    <w:rsid w:val="002A7A52"/>
    <w:rsid w:val="002A7DF6"/>
    <w:rsid w:val="002A7F20"/>
    <w:rsid w:val="002B18AD"/>
    <w:rsid w:val="002B1F6F"/>
    <w:rsid w:val="002B5B69"/>
    <w:rsid w:val="002C2B8B"/>
    <w:rsid w:val="002C4966"/>
    <w:rsid w:val="002C59BD"/>
    <w:rsid w:val="002C6D8B"/>
    <w:rsid w:val="002D17F4"/>
    <w:rsid w:val="002D1946"/>
    <w:rsid w:val="002D2A22"/>
    <w:rsid w:val="002D3EA1"/>
    <w:rsid w:val="002D783B"/>
    <w:rsid w:val="002E3277"/>
    <w:rsid w:val="002E508B"/>
    <w:rsid w:val="002E5998"/>
    <w:rsid w:val="002F3C13"/>
    <w:rsid w:val="002F3C98"/>
    <w:rsid w:val="002F41EE"/>
    <w:rsid w:val="002F4514"/>
    <w:rsid w:val="002F48C3"/>
    <w:rsid w:val="00302E5E"/>
    <w:rsid w:val="00303E99"/>
    <w:rsid w:val="00306725"/>
    <w:rsid w:val="003078ED"/>
    <w:rsid w:val="003123EC"/>
    <w:rsid w:val="00327BD7"/>
    <w:rsid w:val="00332495"/>
    <w:rsid w:val="00332B99"/>
    <w:rsid w:val="00342799"/>
    <w:rsid w:val="00342B92"/>
    <w:rsid w:val="003523D1"/>
    <w:rsid w:val="0036622A"/>
    <w:rsid w:val="00380F31"/>
    <w:rsid w:val="00381786"/>
    <w:rsid w:val="00382D99"/>
    <w:rsid w:val="0038363A"/>
    <w:rsid w:val="00383E6C"/>
    <w:rsid w:val="003842B0"/>
    <w:rsid w:val="00384718"/>
    <w:rsid w:val="00394815"/>
    <w:rsid w:val="0039719D"/>
    <w:rsid w:val="00397759"/>
    <w:rsid w:val="003A10BF"/>
    <w:rsid w:val="003A4F1E"/>
    <w:rsid w:val="003A50E5"/>
    <w:rsid w:val="003A725F"/>
    <w:rsid w:val="003B03F5"/>
    <w:rsid w:val="003B421D"/>
    <w:rsid w:val="003B4689"/>
    <w:rsid w:val="003B6712"/>
    <w:rsid w:val="003B6933"/>
    <w:rsid w:val="003C0416"/>
    <w:rsid w:val="003D2E1B"/>
    <w:rsid w:val="003D3932"/>
    <w:rsid w:val="003D3D75"/>
    <w:rsid w:val="003D6BDD"/>
    <w:rsid w:val="003D7D50"/>
    <w:rsid w:val="003E4BDD"/>
    <w:rsid w:val="003F14C6"/>
    <w:rsid w:val="003F2E97"/>
    <w:rsid w:val="003F469B"/>
    <w:rsid w:val="004001B3"/>
    <w:rsid w:val="00403C51"/>
    <w:rsid w:val="0041035E"/>
    <w:rsid w:val="004120E0"/>
    <w:rsid w:val="00414C77"/>
    <w:rsid w:val="0041616D"/>
    <w:rsid w:val="00416A65"/>
    <w:rsid w:val="00422059"/>
    <w:rsid w:val="004265B1"/>
    <w:rsid w:val="00427045"/>
    <w:rsid w:val="0042771F"/>
    <w:rsid w:val="00433FD1"/>
    <w:rsid w:val="00436535"/>
    <w:rsid w:val="00440A25"/>
    <w:rsid w:val="00444536"/>
    <w:rsid w:val="00447A9C"/>
    <w:rsid w:val="00453862"/>
    <w:rsid w:val="0045479A"/>
    <w:rsid w:val="004558C5"/>
    <w:rsid w:val="004612C3"/>
    <w:rsid w:val="0046335D"/>
    <w:rsid w:val="00464731"/>
    <w:rsid w:val="00473782"/>
    <w:rsid w:val="00475109"/>
    <w:rsid w:val="00476E08"/>
    <w:rsid w:val="00483E17"/>
    <w:rsid w:val="00490EEA"/>
    <w:rsid w:val="00493B55"/>
    <w:rsid w:val="004A4EE0"/>
    <w:rsid w:val="004A4FDA"/>
    <w:rsid w:val="004A559D"/>
    <w:rsid w:val="004B0B08"/>
    <w:rsid w:val="004B25FA"/>
    <w:rsid w:val="004C276B"/>
    <w:rsid w:val="004C513C"/>
    <w:rsid w:val="004C7579"/>
    <w:rsid w:val="004D2C0D"/>
    <w:rsid w:val="004D2DFB"/>
    <w:rsid w:val="004D5EE3"/>
    <w:rsid w:val="004E0CA2"/>
    <w:rsid w:val="004F2D28"/>
    <w:rsid w:val="004F6D64"/>
    <w:rsid w:val="004F7823"/>
    <w:rsid w:val="005048DA"/>
    <w:rsid w:val="005114FA"/>
    <w:rsid w:val="0051396A"/>
    <w:rsid w:val="00521439"/>
    <w:rsid w:val="00530DD2"/>
    <w:rsid w:val="00531FF2"/>
    <w:rsid w:val="00534512"/>
    <w:rsid w:val="005364CC"/>
    <w:rsid w:val="0053668B"/>
    <w:rsid w:val="00543DD3"/>
    <w:rsid w:val="005452DA"/>
    <w:rsid w:val="00547FF5"/>
    <w:rsid w:val="00552413"/>
    <w:rsid w:val="005528AD"/>
    <w:rsid w:val="00554287"/>
    <w:rsid w:val="00555279"/>
    <w:rsid w:val="00560B3D"/>
    <w:rsid w:val="00562325"/>
    <w:rsid w:val="00562344"/>
    <w:rsid w:val="00567E6A"/>
    <w:rsid w:val="00584AF1"/>
    <w:rsid w:val="0058755E"/>
    <w:rsid w:val="005914A2"/>
    <w:rsid w:val="005933EB"/>
    <w:rsid w:val="005951E4"/>
    <w:rsid w:val="005954A2"/>
    <w:rsid w:val="0059632E"/>
    <w:rsid w:val="005A529C"/>
    <w:rsid w:val="005A6527"/>
    <w:rsid w:val="005A6EC6"/>
    <w:rsid w:val="005B0C02"/>
    <w:rsid w:val="005B5ED9"/>
    <w:rsid w:val="005C052F"/>
    <w:rsid w:val="005C0F1F"/>
    <w:rsid w:val="005D5F5E"/>
    <w:rsid w:val="005E12D1"/>
    <w:rsid w:val="005E47B8"/>
    <w:rsid w:val="005E73C0"/>
    <w:rsid w:val="005F2E9F"/>
    <w:rsid w:val="005F433A"/>
    <w:rsid w:val="005F5826"/>
    <w:rsid w:val="005F67A0"/>
    <w:rsid w:val="0060072B"/>
    <w:rsid w:val="00600D9F"/>
    <w:rsid w:val="00601F01"/>
    <w:rsid w:val="006027D6"/>
    <w:rsid w:val="006134BD"/>
    <w:rsid w:val="0061506F"/>
    <w:rsid w:val="00616051"/>
    <w:rsid w:val="0061664C"/>
    <w:rsid w:val="00622C06"/>
    <w:rsid w:val="006234B5"/>
    <w:rsid w:val="006246FA"/>
    <w:rsid w:val="006247A0"/>
    <w:rsid w:val="006251B2"/>
    <w:rsid w:val="0062663B"/>
    <w:rsid w:val="00635385"/>
    <w:rsid w:val="00646170"/>
    <w:rsid w:val="0064657C"/>
    <w:rsid w:val="00652209"/>
    <w:rsid w:val="00655A79"/>
    <w:rsid w:val="00661366"/>
    <w:rsid w:val="00661A87"/>
    <w:rsid w:val="0066229E"/>
    <w:rsid w:val="00662552"/>
    <w:rsid w:val="00664A92"/>
    <w:rsid w:val="006665D8"/>
    <w:rsid w:val="00672E6D"/>
    <w:rsid w:val="00673A64"/>
    <w:rsid w:val="0067763B"/>
    <w:rsid w:val="00677EFC"/>
    <w:rsid w:val="006821DD"/>
    <w:rsid w:val="006821F5"/>
    <w:rsid w:val="0068344B"/>
    <w:rsid w:val="00685317"/>
    <w:rsid w:val="00686807"/>
    <w:rsid w:val="006872B5"/>
    <w:rsid w:val="00692182"/>
    <w:rsid w:val="006960F1"/>
    <w:rsid w:val="0069685D"/>
    <w:rsid w:val="00696F17"/>
    <w:rsid w:val="00697E9F"/>
    <w:rsid w:val="006A0360"/>
    <w:rsid w:val="006A5F27"/>
    <w:rsid w:val="006A6DD3"/>
    <w:rsid w:val="006B3A35"/>
    <w:rsid w:val="006B4491"/>
    <w:rsid w:val="006C74A8"/>
    <w:rsid w:val="006D1475"/>
    <w:rsid w:val="006D66A3"/>
    <w:rsid w:val="006D730D"/>
    <w:rsid w:val="006E0F07"/>
    <w:rsid w:val="006E666D"/>
    <w:rsid w:val="006F2B76"/>
    <w:rsid w:val="006F3157"/>
    <w:rsid w:val="006F3EF3"/>
    <w:rsid w:val="006F5A99"/>
    <w:rsid w:val="007071E4"/>
    <w:rsid w:val="0071023B"/>
    <w:rsid w:val="00714327"/>
    <w:rsid w:val="00717C3A"/>
    <w:rsid w:val="007229BE"/>
    <w:rsid w:val="007240E3"/>
    <w:rsid w:val="00724B2E"/>
    <w:rsid w:val="00724B7C"/>
    <w:rsid w:val="00727126"/>
    <w:rsid w:val="00727560"/>
    <w:rsid w:val="0072798F"/>
    <w:rsid w:val="007305ED"/>
    <w:rsid w:val="00732EBC"/>
    <w:rsid w:val="00734842"/>
    <w:rsid w:val="00734A43"/>
    <w:rsid w:val="0073755C"/>
    <w:rsid w:val="007405CA"/>
    <w:rsid w:val="0074070C"/>
    <w:rsid w:val="00746DB0"/>
    <w:rsid w:val="00747ABF"/>
    <w:rsid w:val="00756155"/>
    <w:rsid w:val="00760C4E"/>
    <w:rsid w:val="00767202"/>
    <w:rsid w:val="007678CF"/>
    <w:rsid w:val="007728CB"/>
    <w:rsid w:val="00773B6C"/>
    <w:rsid w:val="0078427F"/>
    <w:rsid w:val="00785105"/>
    <w:rsid w:val="00785F35"/>
    <w:rsid w:val="00791D3F"/>
    <w:rsid w:val="0079339E"/>
    <w:rsid w:val="007941BB"/>
    <w:rsid w:val="00794532"/>
    <w:rsid w:val="007965FC"/>
    <w:rsid w:val="0079736B"/>
    <w:rsid w:val="007A35B0"/>
    <w:rsid w:val="007A5156"/>
    <w:rsid w:val="007A7A9F"/>
    <w:rsid w:val="007B51F6"/>
    <w:rsid w:val="007B620E"/>
    <w:rsid w:val="007C0E15"/>
    <w:rsid w:val="007C27DA"/>
    <w:rsid w:val="007C3255"/>
    <w:rsid w:val="007D0EE6"/>
    <w:rsid w:val="007D1504"/>
    <w:rsid w:val="007D51F3"/>
    <w:rsid w:val="007D5B98"/>
    <w:rsid w:val="007D65CE"/>
    <w:rsid w:val="007F0191"/>
    <w:rsid w:val="00802E82"/>
    <w:rsid w:val="00805EDD"/>
    <w:rsid w:val="00807E9A"/>
    <w:rsid w:val="00810BE2"/>
    <w:rsid w:val="00815B06"/>
    <w:rsid w:val="0081689E"/>
    <w:rsid w:val="00831505"/>
    <w:rsid w:val="0083175A"/>
    <w:rsid w:val="008363E9"/>
    <w:rsid w:val="0084192D"/>
    <w:rsid w:val="00846114"/>
    <w:rsid w:val="008462C1"/>
    <w:rsid w:val="00850F29"/>
    <w:rsid w:val="008541BC"/>
    <w:rsid w:val="0085663F"/>
    <w:rsid w:val="00860857"/>
    <w:rsid w:val="00874427"/>
    <w:rsid w:val="00875ADD"/>
    <w:rsid w:val="0088090D"/>
    <w:rsid w:val="008875D4"/>
    <w:rsid w:val="00890524"/>
    <w:rsid w:val="008A1B4E"/>
    <w:rsid w:val="008A27F4"/>
    <w:rsid w:val="008A52A9"/>
    <w:rsid w:val="008B05D0"/>
    <w:rsid w:val="008B1F8C"/>
    <w:rsid w:val="008B5143"/>
    <w:rsid w:val="008B7F08"/>
    <w:rsid w:val="008C0DC5"/>
    <w:rsid w:val="008C2056"/>
    <w:rsid w:val="008C2914"/>
    <w:rsid w:val="008C5C94"/>
    <w:rsid w:val="008D3A5E"/>
    <w:rsid w:val="008D54C3"/>
    <w:rsid w:val="008E022C"/>
    <w:rsid w:val="008E153B"/>
    <w:rsid w:val="008E17F3"/>
    <w:rsid w:val="008E5B5B"/>
    <w:rsid w:val="008E6F1F"/>
    <w:rsid w:val="008E7340"/>
    <w:rsid w:val="008F03D0"/>
    <w:rsid w:val="008F0D62"/>
    <w:rsid w:val="008F1874"/>
    <w:rsid w:val="008F5C85"/>
    <w:rsid w:val="0090097A"/>
    <w:rsid w:val="00900D5E"/>
    <w:rsid w:val="009011E3"/>
    <w:rsid w:val="009021B7"/>
    <w:rsid w:val="009057E1"/>
    <w:rsid w:val="0090594F"/>
    <w:rsid w:val="00906B5C"/>
    <w:rsid w:val="0091066B"/>
    <w:rsid w:val="00910E81"/>
    <w:rsid w:val="0091244B"/>
    <w:rsid w:val="00916C5E"/>
    <w:rsid w:val="0091734E"/>
    <w:rsid w:val="00922A3C"/>
    <w:rsid w:val="0092535D"/>
    <w:rsid w:val="00942FCF"/>
    <w:rsid w:val="0094383B"/>
    <w:rsid w:val="00945D9C"/>
    <w:rsid w:val="009506A4"/>
    <w:rsid w:val="00950735"/>
    <w:rsid w:val="00951530"/>
    <w:rsid w:val="00961160"/>
    <w:rsid w:val="009645F6"/>
    <w:rsid w:val="00966AE0"/>
    <w:rsid w:val="009674BA"/>
    <w:rsid w:val="00967BC1"/>
    <w:rsid w:val="00971BDD"/>
    <w:rsid w:val="00973856"/>
    <w:rsid w:val="0097759C"/>
    <w:rsid w:val="00983EEE"/>
    <w:rsid w:val="009865A4"/>
    <w:rsid w:val="00987792"/>
    <w:rsid w:val="00994644"/>
    <w:rsid w:val="00995915"/>
    <w:rsid w:val="009960AB"/>
    <w:rsid w:val="00997560"/>
    <w:rsid w:val="009A2FF8"/>
    <w:rsid w:val="009A78D7"/>
    <w:rsid w:val="009B25BF"/>
    <w:rsid w:val="009B5DC3"/>
    <w:rsid w:val="009C03A2"/>
    <w:rsid w:val="009C127B"/>
    <w:rsid w:val="009C39A9"/>
    <w:rsid w:val="009D0D4F"/>
    <w:rsid w:val="009D418C"/>
    <w:rsid w:val="009D5CB6"/>
    <w:rsid w:val="009D63DC"/>
    <w:rsid w:val="009D63E7"/>
    <w:rsid w:val="009E128C"/>
    <w:rsid w:val="009E1FF6"/>
    <w:rsid w:val="009E5313"/>
    <w:rsid w:val="009E77F8"/>
    <w:rsid w:val="009F2506"/>
    <w:rsid w:val="009F2A90"/>
    <w:rsid w:val="009F2ACD"/>
    <w:rsid w:val="009F2D3C"/>
    <w:rsid w:val="009F3A3C"/>
    <w:rsid w:val="009F7BB1"/>
    <w:rsid w:val="00A0480E"/>
    <w:rsid w:val="00A067CF"/>
    <w:rsid w:val="00A07216"/>
    <w:rsid w:val="00A11B71"/>
    <w:rsid w:val="00A163D5"/>
    <w:rsid w:val="00A20097"/>
    <w:rsid w:val="00A21CA5"/>
    <w:rsid w:val="00A22215"/>
    <w:rsid w:val="00A22256"/>
    <w:rsid w:val="00A23698"/>
    <w:rsid w:val="00A24982"/>
    <w:rsid w:val="00A27116"/>
    <w:rsid w:val="00A3070D"/>
    <w:rsid w:val="00A33368"/>
    <w:rsid w:val="00A4252E"/>
    <w:rsid w:val="00A50667"/>
    <w:rsid w:val="00A5708C"/>
    <w:rsid w:val="00A57D3E"/>
    <w:rsid w:val="00A648CC"/>
    <w:rsid w:val="00A65430"/>
    <w:rsid w:val="00A65838"/>
    <w:rsid w:val="00A67BBA"/>
    <w:rsid w:val="00A80B31"/>
    <w:rsid w:val="00A9751A"/>
    <w:rsid w:val="00AA1EA3"/>
    <w:rsid w:val="00AA3CDB"/>
    <w:rsid w:val="00AB2D5E"/>
    <w:rsid w:val="00AC1990"/>
    <w:rsid w:val="00AC1A55"/>
    <w:rsid w:val="00AD27E6"/>
    <w:rsid w:val="00AD2A83"/>
    <w:rsid w:val="00AE05D8"/>
    <w:rsid w:val="00AE175C"/>
    <w:rsid w:val="00AE6E0A"/>
    <w:rsid w:val="00AF0701"/>
    <w:rsid w:val="00AF2ACE"/>
    <w:rsid w:val="00B01BC1"/>
    <w:rsid w:val="00B01F23"/>
    <w:rsid w:val="00B11CF2"/>
    <w:rsid w:val="00B11EEE"/>
    <w:rsid w:val="00B1376F"/>
    <w:rsid w:val="00B16449"/>
    <w:rsid w:val="00B22A32"/>
    <w:rsid w:val="00B240A1"/>
    <w:rsid w:val="00B266B0"/>
    <w:rsid w:val="00B27CC1"/>
    <w:rsid w:val="00B3136C"/>
    <w:rsid w:val="00B35A2C"/>
    <w:rsid w:val="00B37817"/>
    <w:rsid w:val="00B44CE3"/>
    <w:rsid w:val="00B54E9D"/>
    <w:rsid w:val="00B54F0A"/>
    <w:rsid w:val="00B55835"/>
    <w:rsid w:val="00B61ABB"/>
    <w:rsid w:val="00B63241"/>
    <w:rsid w:val="00B63837"/>
    <w:rsid w:val="00B66117"/>
    <w:rsid w:val="00B66576"/>
    <w:rsid w:val="00B67F10"/>
    <w:rsid w:val="00B727C9"/>
    <w:rsid w:val="00B729FD"/>
    <w:rsid w:val="00B83393"/>
    <w:rsid w:val="00B863D0"/>
    <w:rsid w:val="00B9254E"/>
    <w:rsid w:val="00B93C24"/>
    <w:rsid w:val="00B95E61"/>
    <w:rsid w:val="00B97013"/>
    <w:rsid w:val="00BA1701"/>
    <w:rsid w:val="00BA4204"/>
    <w:rsid w:val="00BA4DAC"/>
    <w:rsid w:val="00BA68DA"/>
    <w:rsid w:val="00BA6D92"/>
    <w:rsid w:val="00BB24CF"/>
    <w:rsid w:val="00BB2A2C"/>
    <w:rsid w:val="00BB7E60"/>
    <w:rsid w:val="00BC1332"/>
    <w:rsid w:val="00BC1A4E"/>
    <w:rsid w:val="00BC2AC3"/>
    <w:rsid w:val="00BC3575"/>
    <w:rsid w:val="00BC513E"/>
    <w:rsid w:val="00BD31F2"/>
    <w:rsid w:val="00BD4589"/>
    <w:rsid w:val="00BD5F53"/>
    <w:rsid w:val="00BE6285"/>
    <w:rsid w:val="00BE660C"/>
    <w:rsid w:val="00BE6D6D"/>
    <w:rsid w:val="00BE76FF"/>
    <w:rsid w:val="00BE7B63"/>
    <w:rsid w:val="00BF2BED"/>
    <w:rsid w:val="00BF363B"/>
    <w:rsid w:val="00BF78D3"/>
    <w:rsid w:val="00C05FEA"/>
    <w:rsid w:val="00C060B9"/>
    <w:rsid w:val="00C10C43"/>
    <w:rsid w:val="00C11763"/>
    <w:rsid w:val="00C11B87"/>
    <w:rsid w:val="00C223CB"/>
    <w:rsid w:val="00C2482D"/>
    <w:rsid w:val="00C30D0D"/>
    <w:rsid w:val="00C3446C"/>
    <w:rsid w:val="00C35E90"/>
    <w:rsid w:val="00C3752F"/>
    <w:rsid w:val="00C3768D"/>
    <w:rsid w:val="00C41D79"/>
    <w:rsid w:val="00C4650C"/>
    <w:rsid w:val="00C4658C"/>
    <w:rsid w:val="00C51978"/>
    <w:rsid w:val="00C55985"/>
    <w:rsid w:val="00C56C40"/>
    <w:rsid w:val="00C60C05"/>
    <w:rsid w:val="00C63416"/>
    <w:rsid w:val="00C678D3"/>
    <w:rsid w:val="00C679BE"/>
    <w:rsid w:val="00C71BBD"/>
    <w:rsid w:val="00C72843"/>
    <w:rsid w:val="00C72CEE"/>
    <w:rsid w:val="00C73C35"/>
    <w:rsid w:val="00C75F99"/>
    <w:rsid w:val="00C7790A"/>
    <w:rsid w:val="00C842CA"/>
    <w:rsid w:val="00C9432F"/>
    <w:rsid w:val="00C95A58"/>
    <w:rsid w:val="00CA3A09"/>
    <w:rsid w:val="00CA6B62"/>
    <w:rsid w:val="00CB0C11"/>
    <w:rsid w:val="00CB1E8A"/>
    <w:rsid w:val="00CC18A7"/>
    <w:rsid w:val="00CC5355"/>
    <w:rsid w:val="00CD1E55"/>
    <w:rsid w:val="00CE4ACC"/>
    <w:rsid w:val="00CE7F3E"/>
    <w:rsid w:val="00CF27E5"/>
    <w:rsid w:val="00CF69C7"/>
    <w:rsid w:val="00CF7793"/>
    <w:rsid w:val="00D00624"/>
    <w:rsid w:val="00D01A73"/>
    <w:rsid w:val="00D058C6"/>
    <w:rsid w:val="00D15E61"/>
    <w:rsid w:val="00D1701F"/>
    <w:rsid w:val="00D174A5"/>
    <w:rsid w:val="00D229EA"/>
    <w:rsid w:val="00D22ABF"/>
    <w:rsid w:val="00D27F1E"/>
    <w:rsid w:val="00D34B0F"/>
    <w:rsid w:val="00D36FC9"/>
    <w:rsid w:val="00D3749D"/>
    <w:rsid w:val="00D37C71"/>
    <w:rsid w:val="00D405DA"/>
    <w:rsid w:val="00D4070F"/>
    <w:rsid w:val="00D41751"/>
    <w:rsid w:val="00D41FA3"/>
    <w:rsid w:val="00D42974"/>
    <w:rsid w:val="00D43956"/>
    <w:rsid w:val="00D46433"/>
    <w:rsid w:val="00D47D5D"/>
    <w:rsid w:val="00D47DA3"/>
    <w:rsid w:val="00D5213C"/>
    <w:rsid w:val="00D536E5"/>
    <w:rsid w:val="00D5386D"/>
    <w:rsid w:val="00D5463F"/>
    <w:rsid w:val="00D57241"/>
    <w:rsid w:val="00D60B81"/>
    <w:rsid w:val="00D75802"/>
    <w:rsid w:val="00D808F7"/>
    <w:rsid w:val="00D81C94"/>
    <w:rsid w:val="00D82755"/>
    <w:rsid w:val="00D8357C"/>
    <w:rsid w:val="00D8548F"/>
    <w:rsid w:val="00D92BC7"/>
    <w:rsid w:val="00D97267"/>
    <w:rsid w:val="00DA0CCA"/>
    <w:rsid w:val="00DA6DB1"/>
    <w:rsid w:val="00DB0919"/>
    <w:rsid w:val="00DB1F24"/>
    <w:rsid w:val="00DB21FF"/>
    <w:rsid w:val="00DB3DF2"/>
    <w:rsid w:val="00DB69A2"/>
    <w:rsid w:val="00DB7CD6"/>
    <w:rsid w:val="00DC7869"/>
    <w:rsid w:val="00DD063E"/>
    <w:rsid w:val="00DD0F54"/>
    <w:rsid w:val="00DD589C"/>
    <w:rsid w:val="00DD5B26"/>
    <w:rsid w:val="00DE1DC6"/>
    <w:rsid w:val="00DE38B3"/>
    <w:rsid w:val="00DE66EC"/>
    <w:rsid w:val="00DE761B"/>
    <w:rsid w:val="00DF0D6E"/>
    <w:rsid w:val="00DF10CE"/>
    <w:rsid w:val="00DF620B"/>
    <w:rsid w:val="00DF6B95"/>
    <w:rsid w:val="00DF7C36"/>
    <w:rsid w:val="00E016AF"/>
    <w:rsid w:val="00E06019"/>
    <w:rsid w:val="00E07136"/>
    <w:rsid w:val="00E10216"/>
    <w:rsid w:val="00E11DDE"/>
    <w:rsid w:val="00E1295E"/>
    <w:rsid w:val="00E217EB"/>
    <w:rsid w:val="00E30F0E"/>
    <w:rsid w:val="00E3475F"/>
    <w:rsid w:val="00E44DE5"/>
    <w:rsid w:val="00E46B87"/>
    <w:rsid w:val="00E53748"/>
    <w:rsid w:val="00E5673E"/>
    <w:rsid w:val="00E6286E"/>
    <w:rsid w:val="00E64FB2"/>
    <w:rsid w:val="00E65360"/>
    <w:rsid w:val="00E67E60"/>
    <w:rsid w:val="00E71501"/>
    <w:rsid w:val="00E73161"/>
    <w:rsid w:val="00E73760"/>
    <w:rsid w:val="00E740A9"/>
    <w:rsid w:val="00E754F2"/>
    <w:rsid w:val="00E761EF"/>
    <w:rsid w:val="00E77343"/>
    <w:rsid w:val="00E77693"/>
    <w:rsid w:val="00E80ACB"/>
    <w:rsid w:val="00E827E4"/>
    <w:rsid w:val="00E82F7F"/>
    <w:rsid w:val="00E833D9"/>
    <w:rsid w:val="00E87D05"/>
    <w:rsid w:val="00E87D5F"/>
    <w:rsid w:val="00E87D74"/>
    <w:rsid w:val="00E92B0E"/>
    <w:rsid w:val="00E93FA0"/>
    <w:rsid w:val="00E942B0"/>
    <w:rsid w:val="00E96012"/>
    <w:rsid w:val="00E9663C"/>
    <w:rsid w:val="00E971FC"/>
    <w:rsid w:val="00EA2A09"/>
    <w:rsid w:val="00EA6A10"/>
    <w:rsid w:val="00EB42C9"/>
    <w:rsid w:val="00EB6995"/>
    <w:rsid w:val="00EB6A64"/>
    <w:rsid w:val="00EB77F6"/>
    <w:rsid w:val="00EC20C8"/>
    <w:rsid w:val="00EC5CC5"/>
    <w:rsid w:val="00EC78FB"/>
    <w:rsid w:val="00ED162C"/>
    <w:rsid w:val="00ED1AB8"/>
    <w:rsid w:val="00ED2A8C"/>
    <w:rsid w:val="00ED7CEF"/>
    <w:rsid w:val="00EE02B6"/>
    <w:rsid w:val="00EE20EE"/>
    <w:rsid w:val="00EE5888"/>
    <w:rsid w:val="00EE59ED"/>
    <w:rsid w:val="00EF6999"/>
    <w:rsid w:val="00EF7F3E"/>
    <w:rsid w:val="00F03584"/>
    <w:rsid w:val="00F10B70"/>
    <w:rsid w:val="00F11538"/>
    <w:rsid w:val="00F14EF1"/>
    <w:rsid w:val="00F20459"/>
    <w:rsid w:val="00F2216D"/>
    <w:rsid w:val="00F22C13"/>
    <w:rsid w:val="00F2678E"/>
    <w:rsid w:val="00F2700F"/>
    <w:rsid w:val="00F27501"/>
    <w:rsid w:val="00F27C63"/>
    <w:rsid w:val="00F318AD"/>
    <w:rsid w:val="00F330EC"/>
    <w:rsid w:val="00F43DFB"/>
    <w:rsid w:val="00F44283"/>
    <w:rsid w:val="00F456D5"/>
    <w:rsid w:val="00F50B79"/>
    <w:rsid w:val="00F52212"/>
    <w:rsid w:val="00F530BA"/>
    <w:rsid w:val="00F5391A"/>
    <w:rsid w:val="00F5656F"/>
    <w:rsid w:val="00F6019E"/>
    <w:rsid w:val="00F702E4"/>
    <w:rsid w:val="00F7516C"/>
    <w:rsid w:val="00F770EB"/>
    <w:rsid w:val="00F811B7"/>
    <w:rsid w:val="00F818AA"/>
    <w:rsid w:val="00F835DE"/>
    <w:rsid w:val="00F85412"/>
    <w:rsid w:val="00F92148"/>
    <w:rsid w:val="00F94EA0"/>
    <w:rsid w:val="00F96CDF"/>
    <w:rsid w:val="00FB0218"/>
    <w:rsid w:val="00FB423B"/>
    <w:rsid w:val="00FB692D"/>
    <w:rsid w:val="00FC1DDC"/>
    <w:rsid w:val="00FC2EC8"/>
    <w:rsid w:val="00FC4DE4"/>
    <w:rsid w:val="00FC566C"/>
    <w:rsid w:val="00FC74DE"/>
    <w:rsid w:val="00FD1212"/>
    <w:rsid w:val="00FD1867"/>
    <w:rsid w:val="00FD1E0F"/>
    <w:rsid w:val="00FE17DE"/>
    <w:rsid w:val="00FE2857"/>
    <w:rsid w:val="00FE2FC1"/>
    <w:rsid w:val="00FF4F15"/>
    <w:rsid w:val="00FF7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style="mso-width-relative:margin;mso-height-relative:margin" fillcolor="white" stroke="f">
      <v:fill color="white"/>
      <v:stroke on="f"/>
    </o:shapedefaults>
    <o:shapelayout v:ext="edit">
      <o:idmap v:ext="edit" data="1"/>
    </o:shapelayout>
  </w:shapeDefaults>
  <w:decimalSymbol w:val="."/>
  <w:listSeparator w:val=","/>
  <w14:docId w14:val="39B2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26B"/>
    <w:pPr>
      <w:jc w:val="both"/>
    </w:pPr>
    <w:rPr>
      <w:sz w:val="24"/>
      <w:szCs w:val="24"/>
    </w:rPr>
  </w:style>
  <w:style w:type="paragraph" w:styleId="Heading1">
    <w:name w:val="heading 1"/>
    <w:basedOn w:val="Normal"/>
    <w:next w:val="Normal"/>
    <w:link w:val="Heading1Char"/>
    <w:uiPriority w:val="9"/>
    <w:qFormat/>
    <w:rsid w:val="009B25B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5B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25BF"/>
    <w:pPr>
      <w:keepNext/>
      <w:keepLines/>
      <w:spacing w:before="200" w:line="276" w:lineRule="auto"/>
      <w:outlineLvl w:val="2"/>
    </w:pPr>
    <w:rPr>
      <w:rFonts w:asciiTheme="majorHAnsi" w:eastAsiaTheme="majorEastAsia" w:hAnsiTheme="majorHAnsi"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799"/>
    <w:pPr>
      <w:tabs>
        <w:tab w:val="center" w:pos="4680"/>
        <w:tab w:val="right" w:pos="9360"/>
      </w:tabs>
    </w:pPr>
  </w:style>
  <w:style w:type="character" w:customStyle="1" w:styleId="HeaderChar">
    <w:name w:val="Header Char"/>
    <w:basedOn w:val="DefaultParagraphFont"/>
    <w:link w:val="Header"/>
    <w:rsid w:val="00342799"/>
    <w:rPr>
      <w:rFonts w:ascii="Calibri" w:hAnsi="Calibri"/>
      <w:sz w:val="22"/>
      <w:szCs w:val="24"/>
    </w:rPr>
  </w:style>
  <w:style w:type="paragraph" w:styleId="Footer">
    <w:name w:val="footer"/>
    <w:basedOn w:val="Normal"/>
    <w:link w:val="FooterChar"/>
    <w:uiPriority w:val="99"/>
    <w:rsid w:val="00342799"/>
    <w:pPr>
      <w:tabs>
        <w:tab w:val="center" w:pos="4680"/>
        <w:tab w:val="right" w:pos="9360"/>
      </w:tabs>
    </w:pPr>
  </w:style>
  <w:style w:type="character" w:customStyle="1" w:styleId="FooterChar">
    <w:name w:val="Footer Char"/>
    <w:basedOn w:val="DefaultParagraphFont"/>
    <w:link w:val="Footer"/>
    <w:uiPriority w:val="99"/>
    <w:rsid w:val="00342799"/>
    <w:rPr>
      <w:rFonts w:ascii="Calibri" w:hAnsi="Calibri"/>
      <w:sz w:val="22"/>
      <w:szCs w:val="24"/>
    </w:rPr>
  </w:style>
  <w:style w:type="table" w:styleId="TableGrid">
    <w:name w:val="Table Grid"/>
    <w:basedOn w:val="TableNormal"/>
    <w:uiPriority w:val="59"/>
    <w:rsid w:val="00EE5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E59ED"/>
    <w:rPr>
      <w:color w:val="0000FF" w:themeColor="hyperlink"/>
      <w:u w:val="single"/>
    </w:rPr>
  </w:style>
  <w:style w:type="character" w:customStyle="1" w:styleId="yshortcuts">
    <w:name w:val="yshortcuts"/>
    <w:basedOn w:val="DefaultParagraphFont"/>
    <w:rsid w:val="00BC1332"/>
  </w:style>
  <w:style w:type="paragraph" w:styleId="BalloonText">
    <w:name w:val="Balloon Text"/>
    <w:basedOn w:val="Normal"/>
    <w:link w:val="BalloonTextChar"/>
    <w:rsid w:val="00E73161"/>
    <w:rPr>
      <w:rFonts w:ascii="Tahoma" w:hAnsi="Tahoma" w:cs="Tahoma"/>
      <w:sz w:val="16"/>
      <w:szCs w:val="16"/>
    </w:rPr>
  </w:style>
  <w:style w:type="character" w:customStyle="1" w:styleId="BalloonTextChar">
    <w:name w:val="Balloon Text Char"/>
    <w:basedOn w:val="DefaultParagraphFont"/>
    <w:link w:val="BalloonText"/>
    <w:rsid w:val="00E73161"/>
    <w:rPr>
      <w:rFonts w:ascii="Tahoma" w:hAnsi="Tahoma" w:cs="Tahoma"/>
      <w:sz w:val="16"/>
      <w:szCs w:val="16"/>
    </w:rPr>
  </w:style>
  <w:style w:type="paragraph" w:styleId="ListParagraph">
    <w:name w:val="List Paragraph"/>
    <w:basedOn w:val="Normal"/>
    <w:uiPriority w:val="34"/>
    <w:qFormat/>
    <w:rsid w:val="006246FA"/>
    <w:pPr>
      <w:spacing w:after="200" w:line="276" w:lineRule="auto"/>
      <w:ind w:left="720"/>
      <w:contextualSpacing/>
    </w:pPr>
    <w:rPr>
      <w:rFonts w:eastAsiaTheme="minorHAnsi" w:cstheme="minorBidi"/>
      <w:szCs w:val="22"/>
    </w:rPr>
  </w:style>
  <w:style w:type="paragraph" w:styleId="ListBullet">
    <w:name w:val="List Bullet"/>
    <w:basedOn w:val="Normal"/>
    <w:uiPriority w:val="99"/>
    <w:unhideWhenUsed/>
    <w:rsid w:val="00DD0F54"/>
    <w:pPr>
      <w:numPr>
        <w:numId w:val="1"/>
      </w:numPr>
      <w:spacing w:after="200" w:line="276" w:lineRule="auto"/>
      <w:contextualSpacing/>
    </w:pPr>
    <w:rPr>
      <w:rFonts w:asciiTheme="minorHAnsi" w:eastAsiaTheme="minorHAnsi" w:hAnsiTheme="minorHAnsi" w:cstheme="minorBidi"/>
      <w:szCs w:val="22"/>
    </w:rPr>
  </w:style>
  <w:style w:type="table" w:styleId="Table3Deffects1">
    <w:name w:val="Table 3D effects 1"/>
    <w:basedOn w:val="TableNormal"/>
    <w:rsid w:val="00F702E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702E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702E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ColorfulList-Accent3">
    <w:name w:val="Colorful List Accent 3"/>
    <w:basedOn w:val="TableNormal"/>
    <w:uiPriority w:val="72"/>
    <w:rsid w:val="00F702E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1-Accent6">
    <w:name w:val="Medium List 1 Accent 6"/>
    <w:basedOn w:val="TableNormal"/>
    <w:uiPriority w:val="65"/>
    <w:rsid w:val="00F702E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5">
    <w:name w:val="Medium List 1 Accent 5"/>
    <w:basedOn w:val="TableNormal"/>
    <w:uiPriority w:val="65"/>
    <w:rsid w:val="00F702E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Columns1">
    <w:name w:val="Table Columns 1"/>
    <w:basedOn w:val="TableNormal"/>
    <w:rsid w:val="00F702E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style-span">
    <w:name w:val="apple-style-span"/>
    <w:basedOn w:val="DefaultParagraphFont"/>
    <w:rsid w:val="0019435C"/>
  </w:style>
  <w:style w:type="paragraph" w:styleId="NormalWeb">
    <w:name w:val="Normal (Web)"/>
    <w:basedOn w:val="Normal"/>
    <w:uiPriority w:val="99"/>
    <w:unhideWhenUsed/>
    <w:rsid w:val="00916C5E"/>
    <w:pPr>
      <w:spacing w:before="100" w:beforeAutospacing="1" w:after="100" w:afterAutospacing="1"/>
    </w:pPr>
  </w:style>
  <w:style w:type="character" w:customStyle="1" w:styleId="Heading1Char">
    <w:name w:val="Heading 1 Char"/>
    <w:basedOn w:val="DefaultParagraphFont"/>
    <w:link w:val="Heading1"/>
    <w:uiPriority w:val="9"/>
    <w:rsid w:val="009B25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25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25BF"/>
    <w:rPr>
      <w:rFonts w:asciiTheme="majorHAnsi" w:eastAsiaTheme="majorEastAsia" w:hAnsiTheme="majorHAnsi" w:cstheme="majorBidi"/>
      <w:b/>
      <w:bCs/>
      <w:color w:val="4F81BD" w:themeColor="accent1"/>
      <w:sz w:val="22"/>
      <w:szCs w:val="22"/>
    </w:rPr>
  </w:style>
  <w:style w:type="paragraph" w:styleId="FootnoteText">
    <w:name w:val="footnote text"/>
    <w:basedOn w:val="Normal"/>
    <w:link w:val="FootnoteTextChar"/>
    <w:uiPriority w:val="99"/>
    <w:unhideWhenUsed/>
    <w:rsid w:val="009B25B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B25BF"/>
    <w:rPr>
      <w:rFonts w:asciiTheme="minorHAnsi" w:eastAsiaTheme="minorHAnsi" w:hAnsiTheme="minorHAnsi" w:cstheme="minorBidi"/>
    </w:rPr>
  </w:style>
  <w:style w:type="character" w:styleId="FootnoteReference">
    <w:name w:val="footnote reference"/>
    <w:basedOn w:val="DefaultParagraphFont"/>
    <w:uiPriority w:val="99"/>
    <w:unhideWhenUsed/>
    <w:rsid w:val="009B25BF"/>
    <w:rPr>
      <w:vertAlign w:val="superscript"/>
    </w:rPr>
  </w:style>
  <w:style w:type="paragraph" w:customStyle="1" w:styleId="Figuredescription">
    <w:name w:val="Figure description."/>
    <w:basedOn w:val="Normal"/>
    <w:link w:val="FiguredescriptionChar"/>
    <w:qFormat/>
    <w:rsid w:val="009B25BF"/>
    <w:pPr>
      <w:spacing w:after="200" w:line="276" w:lineRule="auto"/>
      <w:jc w:val="center"/>
    </w:pPr>
    <w:rPr>
      <w:rFonts w:asciiTheme="minorHAnsi" w:eastAsiaTheme="minorHAnsi" w:hAnsiTheme="minorHAnsi" w:cstheme="minorBidi"/>
      <w:i/>
      <w:sz w:val="20"/>
      <w:szCs w:val="20"/>
    </w:rPr>
  </w:style>
  <w:style w:type="character" w:customStyle="1" w:styleId="FiguredescriptionChar">
    <w:name w:val="Figure description. Char"/>
    <w:basedOn w:val="DefaultParagraphFont"/>
    <w:link w:val="Figuredescription"/>
    <w:rsid w:val="009B25BF"/>
    <w:rPr>
      <w:rFonts w:asciiTheme="minorHAnsi" w:eastAsiaTheme="minorHAnsi" w:hAnsiTheme="minorHAnsi" w:cstheme="minorBidi"/>
      <w:i/>
    </w:rPr>
  </w:style>
  <w:style w:type="character" w:styleId="Strong">
    <w:name w:val="Strong"/>
    <w:basedOn w:val="DefaultParagraphFont"/>
    <w:qFormat/>
    <w:rsid w:val="004E0CA2"/>
    <w:rPr>
      <w:b/>
      <w:bCs/>
    </w:rPr>
  </w:style>
  <w:style w:type="character" w:styleId="CommentReference">
    <w:name w:val="annotation reference"/>
    <w:basedOn w:val="DefaultParagraphFont"/>
    <w:rsid w:val="00D57241"/>
    <w:rPr>
      <w:sz w:val="18"/>
      <w:szCs w:val="18"/>
    </w:rPr>
  </w:style>
  <w:style w:type="paragraph" w:styleId="CommentText">
    <w:name w:val="annotation text"/>
    <w:basedOn w:val="Normal"/>
    <w:link w:val="CommentTextChar"/>
    <w:rsid w:val="00D57241"/>
  </w:style>
  <w:style w:type="character" w:customStyle="1" w:styleId="CommentTextChar">
    <w:name w:val="Comment Text Char"/>
    <w:basedOn w:val="DefaultParagraphFont"/>
    <w:link w:val="CommentText"/>
    <w:rsid w:val="00D57241"/>
    <w:rPr>
      <w:rFonts w:ascii="Calibri" w:hAnsi="Calibri"/>
      <w:sz w:val="24"/>
      <w:szCs w:val="24"/>
    </w:rPr>
  </w:style>
  <w:style w:type="paragraph" w:styleId="CommentSubject">
    <w:name w:val="annotation subject"/>
    <w:basedOn w:val="CommentText"/>
    <w:next w:val="CommentText"/>
    <w:link w:val="CommentSubjectChar"/>
    <w:rsid w:val="00D57241"/>
    <w:rPr>
      <w:b/>
      <w:bCs/>
      <w:sz w:val="20"/>
      <w:szCs w:val="20"/>
    </w:rPr>
  </w:style>
  <w:style w:type="character" w:customStyle="1" w:styleId="CommentSubjectChar">
    <w:name w:val="Comment Subject Char"/>
    <w:basedOn w:val="CommentTextChar"/>
    <w:link w:val="CommentSubject"/>
    <w:rsid w:val="00D57241"/>
    <w:rPr>
      <w:rFonts w:ascii="Calibri" w:hAnsi="Calibri"/>
      <w:b/>
      <w:bCs/>
      <w:sz w:val="24"/>
      <w:szCs w:val="24"/>
    </w:rPr>
  </w:style>
  <w:style w:type="paragraph" w:styleId="Caption">
    <w:name w:val="caption"/>
    <w:basedOn w:val="Normal"/>
    <w:next w:val="Normal"/>
    <w:unhideWhenUsed/>
    <w:qFormat/>
    <w:rsid w:val="00560B3D"/>
    <w:pPr>
      <w:spacing w:after="200"/>
      <w:jc w:val="center"/>
    </w:pPr>
    <w:rPr>
      <w:rFonts w:asciiTheme="minorHAnsi" w:eastAsiaTheme="minorHAnsi" w:hAnsiTheme="minorHAnsi" w:cstheme="minorBidi"/>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26B"/>
    <w:pPr>
      <w:jc w:val="both"/>
    </w:pPr>
    <w:rPr>
      <w:sz w:val="24"/>
      <w:szCs w:val="24"/>
    </w:rPr>
  </w:style>
  <w:style w:type="paragraph" w:styleId="Heading1">
    <w:name w:val="heading 1"/>
    <w:basedOn w:val="Normal"/>
    <w:next w:val="Normal"/>
    <w:link w:val="Heading1Char"/>
    <w:uiPriority w:val="9"/>
    <w:qFormat/>
    <w:rsid w:val="009B25B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5B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25BF"/>
    <w:pPr>
      <w:keepNext/>
      <w:keepLines/>
      <w:spacing w:before="200" w:line="276" w:lineRule="auto"/>
      <w:outlineLvl w:val="2"/>
    </w:pPr>
    <w:rPr>
      <w:rFonts w:asciiTheme="majorHAnsi" w:eastAsiaTheme="majorEastAsia" w:hAnsiTheme="majorHAnsi"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799"/>
    <w:pPr>
      <w:tabs>
        <w:tab w:val="center" w:pos="4680"/>
        <w:tab w:val="right" w:pos="9360"/>
      </w:tabs>
    </w:pPr>
  </w:style>
  <w:style w:type="character" w:customStyle="1" w:styleId="HeaderChar">
    <w:name w:val="Header Char"/>
    <w:basedOn w:val="DefaultParagraphFont"/>
    <w:link w:val="Header"/>
    <w:rsid w:val="00342799"/>
    <w:rPr>
      <w:rFonts w:ascii="Calibri" w:hAnsi="Calibri"/>
      <w:sz w:val="22"/>
      <w:szCs w:val="24"/>
    </w:rPr>
  </w:style>
  <w:style w:type="paragraph" w:styleId="Footer">
    <w:name w:val="footer"/>
    <w:basedOn w:val="Normal"/>
    <w:link w:val="FooterChar"/>
    <w:uiPriority w:val="99"/>
    <w:rsid w:val="00342799"/>
    <w:pPr>
      <w:tabs>
        <w:tab w:val="center" w:pos="4680"/>
        <w:tab w:val="right" w:pos="9360"/>
      </w:tabs>
    </w:pPr>
  </w:style>
  <w:style w:type="character" w:customStyle="1" w:styleId="FooterChar">
    <w:name w:val="Footer Char"/>
    <w:basedOn w:val="DefaultParagraphFont"/>
    <w:link w:val="Footer"/>
    <w:uiPriority w:val="99"/>
    <w:rsid w:val="00342799"/>
    <w:rPr>
      <w:rFonts w:ascii="Calibri" w:hAnsi="Calibri"/>
      <w:sz w:val="22"/>
      <w:szCs w:val="24"/>
    </w:rPr>
  </w:style>
  <w:style w:type="table" w:styleId="TableGrid">
    <w:name w:val="Table Grid"/>
    <w:basedOn w:val="TableNormal"/>
    <w:uiPriority w:val="59"/>
    <w:rsid w:val="00EE5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E59ED"/>
    <w:rPr>
      <w:color w:val="0000FF" w:themeColor="hyperlink"/>
      <w:u w:val="single"/>
    </w:rPr>
  </w:style>
  <w:style w:type="character" w:customStyle="1" w:styleId="yshortcuts">
    <w:name w:val="yshortcuts"/>
    <w:basedOn w:val="DefaultParagraphFont"/>
    <w:rsid w:val="00BC1332"/>
  </w:style>
  <w:style w:type="paragraph" w:styleId="BalloonText">
    <w:name w:val="Balloon Text"/>
    <w:basedOn w:val="Normal"/>
    <w:link w:val="BalloonTextChar"/>
    <w:rsid w:val="00E73161"/>
    <w:rPr>
      <w:rFonts w:ascii="Tahoma" w:hAnsi="Tahoma" w:cs="Tahoma"/>
      <w:sz w:val="16"/>
      <w:szCs w:val="16"/>
    </w:rPr>
  </w:style>
  <w:style w:type="character" w:customStyle="1" w:styleId="BalloonTextChar">
    <w:name w:val="Balloon Text Char"/>
    <w:basedOn w:val="DefaultParagraphFont"/>
    <w:link w:val="BalloonText"/>
    <w:rsid w:val="00E73161"/>
    <w:rPr>
      <w:rFonts w:ascii="Tahoma" w:hAnsi="Tahoma" w:cs="Tahoma"/>
      <w:sz w:val="16"/>
      <w:szCs w:val="16"/>
    </w:rPr>
  </w:style>
  <w:style w:type="paragraph" w:styleId="ListParagraph">
    <w:name w:val="List Paragraph"/>
    <w:basedOn w:val="Normal"/>
    <w:uiPriority w:val="34"/>
    <w:qFormat/>
    <w:rsid w:val="006246FA"/>
    <w:pPr>
      <w:spacing w:after="200" w:line="276" w:lineRule="auto"/>
      <w:ind w:left="720"/>
      <w:contextualSpacing/>
    </w:pPr>
    <w:rPr>
      <w:rFonts w:eastAsiaTheme="minorHAnsi" w:cstheme="minorBidi"/>
      <w:szCs w:val="22"/>
    </w:rPr>
  </w:style>
  <w:style w:type="paragraph" w:styleId="ListBullet">
    <w:name w:val="List Bullet"/>
    <w:basedOn w:val="Normal"/>
    <w:uiPriority w:val="99"/>
    <w:unhideWhenUsed/>
    <w:rsid w:val="00DD0F54"/>
    <w:pPr>
      <w:numPr>
        <w:numId w:val="1"/>
      </w:numPr>
      <w:spacing w:after="200" w:line="276" w:lineRule="auto"/>
      <w:contextualSpacing/>
    </w:pPr>
    <w:rPr>
      <w:rFonts w:asciiTheme="minorHAnsi" w:eastAsiaTheme="minorHAnsi" w:hAnsiTheme="minorHAnsi" w:cstheme="minorBidi"/>
      <w:szCs w:val="22"/>
    </w:rPr>
  </w:style>
  <w:style w:type="table" w:styleId="Table3Deffects1">
    <w:name w:val="Table 3D effects 1"/>
    <w:basedOn w:val="TableNormal"/>
    <w:rsid w:val="00F702E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702E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702E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ColorfulList-Accent3">
    <w:name w:val="Colorful List Accent 3"/>
    <w:basedOn w:val="TableNormal"/>
    <w:uiPriority w:val="72"/>
    <w:rsid w:val="00F702E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1-Accent6">
    <w:name w:val="Medium List 1 Accent 6"/>
    <w:basedOn w:val="TableNormal"/>
    <w:uiPriority w:val="65"/>
    <w:rsid w:val="00F702E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5">
    <w:name w:val="Medium List 1 Accent 5"/>
    <w:basedOn w:val="TableNormal"/>
    <w:uiPriority w:val="65"/>
    <w:rsid w:val="00F702E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Columns1">
    <w:name w:val="Table Columns 1"/>
    <w:basedOn w:val="TableNormal"/>
    <w:rsid w:val="00F702E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style-span">
    <w:name w:val="apple-style-span"/>
    <w:basedOn w:val="DefaultParagraphFont"/>
    <w:rsid w:val="0019435C"/>
  </w:style>
  <w:style w:type="paragraph" w:styleId="NormalWeb">
    <w:name w:val="Normal (Web)"/>
    <w:basedOn w:val="Normal"/>
    <w:uiPriority w:val="99"/>
    <w:unhideWhenUsed/>
    <w:rsid w:val="00916C5E"/>
    <w:pPr>
      <w:spacing w:before="100" w:beforeAutospacing="1" w:after="100" w:afterAutospacing="1"/>
    </w:pPr>
  </w:style>
  <w:style w:type="character" w:customStyle="1" w:styleId="Heading1Char">
    <w:name w:val="Heading 1 Char"/>
    <w:basedOn w:val="DefaultParagraphFont"/>
    <w:link w:val="Heading1"/>
    <w:uiPriority w:val="9"/>
    <w:rsid w:val="009B25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25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25BF"/>
    <w:rPr>
      <w:rFonts w:asciiTheme="majorHAnsi" w:eastAsiaTheme="majorEastAsia" w:hAnsiTheme="majorHAnsi" w:cstheme="majorBidi"/>
      <w:b/>
      <w:bCs/>
      <w:color w:val="4F81BD" w:themeColor="accent1"/>
      <w:sz w:val="22"/>
      <w:szCs w:val="22"/>
    </w:rPr>
  </w:style>
  <w:style w:type="paragraph" w:styleId="FootnoteText">
    <w:name w:val="footnote text"/>
    <w:basedOn w:val="Normal"/>
    <w:link w:val="FootnoteTextChar"/>
    <w:uiPriority w:val="99"/>
    <w:unhideWhenUsed/>
    <w:rsid w:val="009B25B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B25BF"/>
    <w:rPr>
      <w:rFonts w:asciiTheme="minorHAnsi" w:eastAsiaTheme="minorHAnsi" w:hAnsiTheme="minorHAnsi" w:cstheme="minorBidi"/>
    </w:rPr>
  </w:style>
  <w:style w:type="character" w:styleId="FootnoteReference">
    <w:name w:val="footnote reference"/>
    <w:basedOn w:val="DefaultParagraphFont"/>
    <w:uiPriority w:val="99"/>
    <w:unhideWhenUsed/>
    <w:rsid w:val="009B25BF"/>
    <w:rPr>
      <w:vertAlign w:val="superscript"/>
    </w:rPr>
  </w:style>
  <w:style w:type="paragraph" w:customStyle="1" w:styleId="Figuredescription">
    <w:name w:val="Figure description."/>
    <w:basedOn w:val="Normal"/>
    <w:link w:val="FiguredescriptionChar"/>
    <w:qFormat/>
    <w:rsid w:val="009B25BF"/>
    <w:pPr>
      <w:spacing w:after="200" w:line="276" w:lineRule="auto"/>
      <w:jc w:val="center"/>
    </w:pPr>
    <w:rPr>
      <w:rFonts w:asciiTheme="minorHAnsi" w:eastAsiaTheme="minorHAnsi" w:hAnsiTheme="minorHAnsi" w:cstheme="minorBidi"/>
      <w:i/>
      <w:sz w:val="20"/>
      <w:szCs w:val="20"/>
    </w:rPr>
  </w:style>
  <w:style w:type="character" w:customStyle="1" w:styleId="FiguredescriptionChar">
    <w:name w:val="Figure description. Char"/>
    <w:basedOn w:val="DefaultParagraphFont"/>
    <w:link w:val="Figuredescription"/>
    <w:rsid w:val="009B25BF"/>
    <w:rPr>
      <w:rFonts w:asciiTheme="minorHAnsi" w:eastAsiaTheme="minorHAnsi" w:hAnsiTheme="minorHAnsi" w:cstheme="minorBidi"/>
      <w:i/>
    </w:rPr>
  </w:style>
  <w:style w:type="character" w:styleId="Strong">
    <w:name w:val="Strong"/>
    <w:basedOn w:val="DefaultParagraphFont"/>
    <w:qFormat/>
    <w:rsid w:val="004E0CA2"/>
    <w:rPr>
      <w:b/>
      <w:bCs/>
    </w:rPr>
  </w:style>
  <w:style w:type="character" w:styleId="CommentReference">
    <w:name w:val="annotation reference"/>
    <w:basedOn w:val="DefaultParagraphFont"/>
    <w:rsid w:val="00D57241"/>
    <w:rPr>
      <w:sz w:val="18"/>
      <w:szCs w:val="18"/>
    </w:rPr>
  </w:style>
  <w:style w:type="paragraph" w:styleId="CommentText">
    <w:name w:val="annotation text"/>
    <w:basedOn w:val="Normal"/>
    <w:link w:val="CommentTextChar"/>
    <w:rsid w:val="00D57241"/>
  </w:style>
  <w:style w:type="character" w:customStyle="1" w:styleId="CommentTextChar">
    <w:name w:val="Comment Text Char"/>
    <w:basedOn w:val="DefaultParagraphFont"/>
    <w:link w:val="CommentText"/>
    <w:rsid w:val="00D57241"/>
    <w:rPr>
      <w:rFonts w:ascii="Calibri" w:hAnsi="Calibri"/>
      <w:sz w:val="24"/>
      <w:szCs w:val="24"/>
    </w:rPr>
  </w:style>
  <w:style w:type="paragraph" w:styleId="CommentSubject">
    <w:name w:val="annotation subject"/>
    <w:basedOn w:val="CommentText"/>
    <w:next w:val="CommentText"/>
    <w:link w:val="CommentSubjectChar"/>
    <w:rsid w:val="00D57241"/>
    <w:rPr>
      <w:b/>
      <w:bCs/>
      <w:sz w:val="20"/>
      <w:szCs w:val="20"/>
    </w:rPr>
  </w:style>
  <w:style w:type="character" w:customStyle="1" w:styleId="CommentSubjectChar">
    <w:name w:val="Comment Subject Char"/>
    <w:basedOn w:val="CommentTextChar"/>
    <w:link w:val="CommentSubject"/>
    <w:rsid w:val="00D57241"/>
    <w:rPr>
      <w:rFonts w:ascii="Calibri" w:hAnsi="Calibri"/>
      <w:b/>
      <w:bCs/>
      <w:sz w:val="24"/>
      <w:szCs w:val="24"/>
    </w:rPr>
  </w:style>
  <w:style w:type="paragraph" w:styleId="Caption">
    <w:name w:val="caption"/>
    <w:basedOn w:val="Normal"/>
    <w:next w:val="Normal"/>
    <w:unhideWhenUsed/>
    <w:qFormat/>
    <w:rsid w:val="00560B3D"/>
    <w:pPr>
      <w:spacing w:after="200"/>
      <w:jc w:val="center"/>
    </w:pPr>
    <w:rPr>
      <w:rFonts w:asciiTheme="minorHAnsi" w:eastAsiaTheme="minorHAnsi" w:hAnsiTheme="minorHAnsi" w:cstheme="minorBidi"/>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81955">
      <w:bodyDiv w:val="1"/>
      <w:marLeft w:val="0"/>
      <w:marRight w:val="0"/>
      <w:marTop w:val="0"/>
      <w:marBottom w:val="0"/>
      <w:divBdr>
        <w:top w:val="none" w:sz="0" w:space="0" w:color="auto"/>
        <w:left w:val="none" w:sz="0" w:space="0" w:color="auto"/>
        <w:bottom w:val="none" w:sz="0" w:space="0" w:color="auto"/>
        <w:right w:val="none" w:sz="0" w:space="0" w:color="auto"/>
      </w:divBdr>
    </w:div>
    <w:div w:id="813176254">
      <w:bodyDiv w:val="1"/>
      <w:marLeft w:val="0"/>
      <w:marRight w:val="0"/>
      <w:marTop w:val="0"/>
      <w:marBottom w:val="0"/>
      <w:divBdr>
        <w:top w:val="none" w:sz="0" w:space="0" w:color="auto"/>
        <w:left w:val="none" w:sz="0" w:space="0" w:color="auto"/>
        <w:bottom w:val="none" w:sz="0" w:space="0" w:color="auto"/>
        <w:right w:val="none" w:sz="0" w:space="0" w:color="auto"/>
      </w:divBdr>
    </w:div>
    <w:div w:id="956642090">
      <w:bodyDiv w:val="1"/>
      <w:marLeft w:val="0"/>
      <w:marRight w:val="0"/>
      <w:marTop w:val="0"/>
      <w:marBottom w:val="0"/>
      <w:divBdr>
        <w:top w:val="none" w:sz="0" w:space="0" w:color="auto"/>
        <w:left w:val="none" w:sz="0" w:space="0" w:color="auto"/>
        <w:bottom w:val="none" w:sz="0" w:space="0" w:color="auto"/>
        <w:right w:val="none" w:sz="0" w:space="0" w:color="auto"/>
      </w:divBdr>
    </w:div>
    <w:div w:id="986205080">
      <w:bodyDiv w:val="1"/>
      <w:marLeft w:val="0"/>
      <w:marRight w:val="0"/>
      <w:marTop w:val="0"/>
      <w:marBottom w:val="0"/>
      <w:divBdr>
        <w:top w:val="none" w:sz="0" w:space="0" w:color="auto"/>
        <w:left w:val="none" w:sz="0" w:space="0" w:color="auto"/>
        <w:bottom w:val="none" w:sz="0" w:space="0" w:color="auto"/>
        <w:right w:val="none" w:sz="0" w:space="0" w:color="auto"/>
      </w:divBdr>
      <w:divsChild>
        <w:div w:id="103312172">
          <w:marLeft w:val="0"/>
          <w:marRight w:val="0"/>
          <w:marTop w:val="0"/>
          <w:marBottom w:val="0"/>
          <w:divBdr>
            <w:top w:val="none" w:sz="0" w:space="0" w:color="auto"/>
            <w:left w:val="none" w:sz="0" w:space="0" w:color="auto"/>
            <w:bottom w:val="none" w:sz="0" w:space="0" w:color="auto"/>
            <w:right w:val="none" w:sz="0" w:space="0" w:color="auto"/>
          </w:divBdr>
        </w:div>
        <w:div w:id="283537619">
          <w:marLeft w:val="0"/>
          <w:marRight w:val="0"/>
          <w:marTop w:val="0"/>
          <w:marBottom w:val="0"/>
          <w:divBdr>
            <w:top w:val="none" w:sz="0" w:space="0" w:color="auto"/>
            <w:left w:val="none" w:sz="0" w:space="0" w:color="auto"/>
            <w:bottom w:val="none" w:sz="0" w:space="0" w:color="auto"/>
            <w:right w:val="none" w:sz="0" w:space="0" w:color="auto"/>
          </w:divBdr>
        </w:div>
        <w:div w:id="1845902362">
          <w:marLeft w:val="0"/>
          <w:marRight w:val="0"/>
          <w:marTop w:val="0"/>
          <w:marBottom w:val="0"/>
          <w:divBdr>
            <w:top w:val="none" w:sz="0" w:space="0" w:color="auto"/>
            <w:left w:val="none" w:sz="0" w:space="0" w:color="auto"/>
            <w:bottom w:val="none" w:sz="0" w:space="0" w:color="auto"/>
            <w:right w:val="none" w:sz="0" w:space="0" w:color="auto"/>
          </w:divBdr>
        </w:div>
        <w:div w:id="1405058745">
          <w:marLeft w:val="0"/>
          <w:marRight w:val="0"/>
          <w:marTop w:val="0"/>
          <w:marBottom w:val="0"/>
          <w:divBdr>
            <w:top w:val="none" w:sz="0" w:space="0" w:color="auto"/>
            <w:left w:val="none" w:sz="0" w:space="0" w:color="auto"/>
            <w:bottom w:val="none" w:sz="0" w:space="0" w:color="auto"/>
            <w:right w:val="none" w:sz="0" w:space="0" w:color="auto"/>
          </w:divBdr>
        </w:div>
      </w:divsChild>
    </w:div>
    <w:div w:id="1091699863">
      <w:bodyDiv w:val="1"/>
      <w:marLeft w:val="0"/>
      <w:marRight w:val="0"/>
      <w:marTop w:val="0"/>
      <w:marBottom w:val="0"/>
      <w:divBdr>
        <w:top w:val="none" w:sz="0" w:space="0" w:color="auto"/>
        <w:left w:val="none" w:sz="0" w:space="0" w:color="auto"/>
        <w:bottom w:val="none" w:sz="0" w:space="0" w:color="auto"/>
        <w:right w:val="none" w:sz="0" w:space="0" w:color="auto"/>
      </w:divBdr>
    </w:div>
    <w:div w:id="1332830882">
      <w:bodyDiv w:val="1"/>
      <w:marLeft w:val="0"/>
      <w:marRight w:val="0"/>
      <w:marTop w:val="0"/>
      <w:marBottom w:val="0"/>
      <w:divBdr>
        <w:top w:val="none" w:sz="0" w:space="0" w:color="auto"/>
        <w:left w:val="none" w:sz="0" w:space="0" w:color="auto"/>
        <w:bottom w:val="none" w:sz="0" w:space="0" w:color="auto"/>
        <w:right w:val="none" w:sz="0" w:space="0" w:color="auto"/>
      </w:divBdr>
    </w:div>
    <w:div w:id="1387676769">
      <w:bodyDiv w:val="1"/>
      <w:marLeft w:val="0"/>
      <w:marRight w:val="0"/>
      <w:marTop w:val="0"/>
      <w:marBottom w:val="0"/>
      <w:divBdr>
        <w:top w:val="none" w:sz="0" w:space="0" w:color="auto"/>
        <w:left w:val="none" w:sz="0" w:space="0" w:color="auto"/>
        <w:bottom w:val="none" w:sz="0" w:space="0" w:color="auto"/>
        <w:right w:val="none" w:sz="0" w:space="0" w:color="auto"/>
      </w:divBdr>
    </w:div>
    <w:div w:id="1457793712">
      <w:bodyDiv w:val="1"/>
      <w:marLeft w:val="0"/>
      <w:marRight w:val="0"/>
      <w:marTop w:val="0"/>
      <w:marBottom w:val="0"/>
      <w:divBdr>
        <w:top w:val="none" w:sz="0" w:space="0" w:color="auto"/>
        <w:left w:val="none" w:sz="0" w:space="0" w:color="auto"/>
        <w:bottom w:val="none" w:sz="0" w:space="0" w:color="auto"/>
        <w:right w:val="none" w:sz="0" w:space="0" w:color="auto"/>
      </w:divBdr>
      <w:divsChild>
        <w:div w:id="108671107">
          <w:marLeft w:val="0"/>
          <w:marRight w:val="0"/>
          <w:marTop w:val="0"/>
          <w:marBottom w:val="0"/>
          <w:divBdr>
            <w:top w:val="none" w:sz="0" w:space="0" w:color="auto"/>
            <w:left w:val="none" w:sz="0" w:space="0" w:color="auto"/>
            <w:bottom w:val="none" w:sz="0" w:space="0" w:color="auto"/>
            <w:right w:val="none" w:sz="0" w:space="0" w:color="auto"/>
          </w:divBdr>
        </w:div>
        <w:div w:id="477000020">
          <w:marLeft w:val="0"/>
          <w:marRight w:val="0"/>
          <w:marTop w:val="0"/>
          <w:marBottom w:val="0"/>
          <w:divBdr>
            <w:top w:val="none" w:sz="0" w:space="0" w:color="auto"/>
            <w:left w:val="none" w:sz="0" w:space="0" w:color="auto"/>
            <w:bottom w:val="none" w:sz="0" w:space="0" w:color="auto"/>
            <w:right w:val="none" w:sz="0" w:space="0" w:color="auto"/>
          </w:divBdr>
        </w:div>
        <w:div w:id="1393693648">
          <w:marLeft w:val="0"/>
          <w:marRight w:val="0"/>
          <w:marTop w:val="0"/>
          <w:marBottom w:val="0"/>
          <w:divBdr>
            <w:top w:val="none" w:sz="0" w:space="0" w:color="auto"/>
            <w:left w:val="none" w:sz="0" w:space="0" w:color="auto"/>
            <w:bottom w:val="none" w:sz="0" w:space="0" w:color="auto"/>
            <w:right w:val="none" w:sz="0" w:space="0" w:color="auto"/>
          </w:divBdr>
        </w:div>
        <w:div w:id="336468474">
          <w:marLeft w:val="0"/>
          <w:marRight w:val="0"/>
          <w:marTop w:val="0"/>
          <w:marBottom w:val="0"/>
          <w:divBdr>
            <w:top w:val="none" w:sz="0" w:space="0" w:color="auto"/>
            <w:left w:val="none" w:sz="0" w:space="0" w:color="auto"/>
            <w:bottom w:val="none" w:sz="0" w:space="0" w:color="auto"/>
            <w:right w:val="none" w:sz="0" w:space="0" w:color="auto"/>
          </w:divBdr>
        </w:div>
        <w:div w:id="589512724">
          <w:marLeft w:val="0"/>
          <w:marRight w:val="0"/>
          <w:marTop w:val="0"/>
          <w:marBottom w:val="0"/>
          <w:divBdr>
            <w:top w:val="none" w:sz="0" w:space="0" w:color="auto"/>
            <w:left w:val="none" w:sz="0" w:space="0" w:color="auto"/>
            <w:bottom w:val="none" w:sz="0" w:space="0" w:color="auto"/>
            <w:right w:val="none" w:sz="0" w:space="0" w:color="auto"/>
          </w:divBdr>
        </w:div>
      </w:divsChild>
    </w:div>
    <w:div w:id="1514303319">
      <w:bodyDiv w:val="1"/>
      <w:marLeft w:val="0"/>
      <w:marRight w:val="0"/>
      <w:marTop w:val="0"/>
      <w:marBottom w:val="0"/>
      <w:divBdr>
        <w:top w:val="none" w:sz="0" w:space="0" w:color="auto"/>
        <w:left w:val="none" w:sz="0" w:space="0" w:color="auto"/>
        <w:bottom w:val="none" w:sz="0" w:space="0" w:color="auto"/>
        <w:right w:val="none" w:sz="0" w:space="0" w:color="auto"/>
      </w:divBdr>
    </w:div>
    <w:div w:id="1548495755">
      <w:bodyDiv w:val="1"/>
      <w:marLeft w:val="0"/>
      <w:marRight w:val="0"/>
      <w:marTop w:val="0"/>
      <w:marBottom w:val="0"/>
      <w:divBdr>
        <w:top w:val="none" w:sz="0" w:space="0" w:color="auto"/>
        <w:left w:val="none" w:sz="0" w:space="0" w:color="auto"/>
        <w:bottom w:val="none" w:sz="0" w:space="0" w:color="auto"/>
        <w:right w:val="none" w:sz="0" w:space="0" w:color="auto"/>
      </w:divBdr>
    </w:div>
    <w:div w:id="1570456292">
      <w:bodyDiv w:val="1"/>
      <w:marLeft w:val="0"/>
      <w:marRight w:val="0"/>
      <w:marTop w:val="0"/>
      <w:marBottom w:val="0"/>
      <w:divBdr>
        <w:top w:val="none" w:sz="0" w:space="0" w:color="auto"/>
        <w:left w:val="none" w:sz="0" w:space="0" w:color="auto"/>
        <w:bottom w:val="none" w:sz="0" w:space="0" w:color="auto"/>
        <w:right w:val="none" w:sz="0" w:space="0" w:color="auto"/>
      </w:divBdr>
      <w:divsChild>
        <w:div w:id="1827352772">
          <w:marLeft w:val="0"/>
          <w:marRight w:val="0"/>
          <w:marTop w:val="0"/>
          <w:marBottom w:val="0"/>
          <w:divBdr>
            <w:top w:val="none" w:sz="0" w:space="0" w:color="auto"/>
            <w:left w:val="none" w:sz="0" w:space="0" w:color="auto"/>
            <w:bottom w:val="none" w:sz="0" w:space="0" w:color="auto"/>
            <w:right w:val="none" w:sz="0" w:space="0" w:color="auto"/>
          </w:divBdr>
        </w:div>
        <w:div w:id="1642147343">
          <w:marLeft w:val="0"/>
          <w:marRight w:val="0"/>
          <w:marTop w:val="0"/>
          <w:marBottom w:val="0"/>
          <w:divBdr>
            <w:top w:val="none" w:sz="0" w:space="0" w:color="auto"/>
            <w:left w:val="none" w:sz="0" w:space="0" w:color="auto"/>
            <w:bottom w:val="none" w:sz="0" w:space="0" w:color="auto"/>
            <w:right w:val="none" w:sz="0" w:space="0" w:color="auto"/>
          </w:divBdr>
        </w:div>
        <w:div w:id="299309727">
          <w:marLeft w:val="0"/>
          <w:marRight w:val="0"/>
          <w:marTop w:val="0"/>
          <w:marBottom w:val="0"/>
          <w:divBdr>
            <w:top w:val="none" w:sz="0" w:space="0" w:color="auto"/>
            <w:left w:val="none" w:sz="0" w:space="0" w:color="auto"/>
            <w:bottom w:val="none" w:sz="0" w:space="0" w:color="auto"/>
            <w:right w:val="none" w:sz="0" w:space="0" w:color="auto"/>
          </w:divBdr>
        </w:div>
        <w:div w:id="1241863580">
          <w:marLeft w:val="0"/>
          <w:marRight w:val="0"/>
          <w:marTop w:val="0"/>
          <w:marBottom w:val="0"/>
          <w:divBdr>
            <w:top w:val="none" w:sz="0" w:space="0" w:color="auto"/>
            <w:left w:val="none" w:sz="0" w:space="0" w:color="auto"/>
            <w:bottom w:val="none" w:sz="0" w:space="0" w:color="auto"/>
            <w:right w:val="none" w:sz="0" w:space="0" w:color="auto"/>
          </w:divBdr>
        </w:div>
        <w:div w:id="1833763480">
          <w:marLeft w:val="0"/>
          <w:marRight w:val="0"/>
          <w:marTop w:val="0"/>
          <w:marBottom w:val="0"/>
          <w:divBdr>
            <w:top w:val="none" w:sz="0" w:space="0" w:color="auto"/>
            <w:left w:val="none" w:sz="0" w:space="0" w:color="auto"/>
            <w:bottom w:val="none" w:sz="0" w:space="0" w:color="auto"/>
            <w:right w:val="none" w:sz="0" w:space="0" w:color="auto"/>
          </w:divBdr>
        </w:div>
        <w:div w:id="412317820">
          <w:marLeft w:val="0"/>
          <w:marRight w:val="0"/>
          <w:marTop w:val="0"/>
          <w:marBottom w:val="0"/>
          <w:divBdr>
            <w:top w:val="none" w:sz="0" w:space="0" w:color="auto"/>
            <w:left w:val="none" w:sz="0" w:space="0" w:color="auto"/>
            <w:bottom w:val="none" w:sz="0" w:space="0" w:color="auto"/>
            <w:right w:val="none" w:sz="0" w:space="0" w:color="auto"/>
          </w:divBdr>
        </w:div>
        <w:div w:id="1243873330">
          <w:marLeft w:val="0"/>
          <w:marRight w:val="0"/>
          <w:marTop w:val="0"/>
          <w:marBottom w:val="0"/>
          <w:divBdr>
            <w:top w:val="none" w:sz="0" w:space="0" w:color="auto"/>
            <w:left w:val="none" w:sz="0" w:space="0" w:color="auto"/>
            <w:bottom w:val="none" w:sz="0" w:space="0" w:color="auto"/>
            <w:right w:val="none" w:sz="0" w:space="0" w:color="auto"/>
          </w:divBdr>
        </w:div>
        <w:div w:id="384178553">
          <w:marLeft w:val="0"/>
          <w:marRight w:val="0"/>
          <w:marTop w:val="0"/>
          <w:marBottom w:val="0"/>
          <w:divBdr>
            <w:top w:val="none" w:sz="0" w:space="0" w:color="auto"/>
            <w:left w:val="none" w:sz="0" w:space="0" w:color="auto"/>
            <w:bottom w:val="none" w:sz="0" w:space="0" w:color="auto"/>
            <w:right w:val="none" w:sz="0" w:space="0" w:color="auto"/>
          </w:divBdr>
        </w:div>
        <w:div w:id="1281957823">
          <w:marLeft w:val="0"/>
          <w:marRight w:val="0"/>
          <w:marTop w:val="0"/>
          <w:marBottom w:val="0"/>
          <w:divBdr>
            <w:top w:val="none" w:sz="0" w:space="0" w:color="auto"/>
            <w:left w:val="none" w:sz="0" w:space="0" w:color="auto"/>
            <w:bottom w:val="none" w:sz="0" w:space="0" w:color="auto"/>
            <w:right w:val="none" w:sz="0" w:space="0" w:color="auto"/>
          </w:divBdr>
        </w:div>
        <w:div w:id="31658814">
          <w:marLeft w:val="0"/>
          <w:marRight w:val="0"/>
          <w:marTop w:val="0"/>
          <w:marBottom w:val="0"/>
          <w:divBdr>
            <w:top w:val="none" w:sz="0" w:space="0" w:color="auto"/>
            <w:left w:val="none" w:sz="0" w:space="0" w:color="auto"/>
            <w:bottom w:val="none" w:sz="0" w:space="0" w:color="auto"/>
            <w:right w:val="none" w:sz="0" w:space="0" w:color="auto"/>
          </w:divBdr>
        </w:div>
        <w:div w:id="999456689">
          <w:marLeft w:val="0"/>
          <w:marRight w:val="0"/>
          <w:marTop w:val="0"/>
          <w:marBottom w:val="0"/>
          <w:divBdr>
            <w:top w:val="none" w:sz="0" w:space="0" w:color="auto"/>
            <w:left w:val="none" w:sz="0" w:space="0" w:color="auto"/>
            <w:bottom w:val="none" w:sz="0" w:space="0" w:color="auto"/>
            <w:right w:val="none" w:sz="0" w:space="0" w:color="auto"/>
          </w:divBdr>
        </w:div>
      </w:divsChild>
    </w:div>
    <w:div w:id="16505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06112D18534C9306C4D577348D5E" ma:contentTypeVersion="0" ma:contentTypeDescription="Create a new document." ma:contentTypeScope="" ma:versionID="0678ede3dcff147c37b5dab7b5758e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2ADA9-8EED-49E5-B5E5-0B276301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DF252B-BB90-427E-9679-002A0E840053}">
  <ds:schemaRefs>
    <ds:schemaRef ds:uri="http://schemas.microsoft.com/sharepoint/v3/contenttype/forms"/>
  </ds:schemaRefs>
</ds:datastoreItem>
</file>

<file path=customXml/itemProps3.xml><?xml version="1.0" encoding="utf-8"?>
<ds:datastoreItem xmlns:ds="http://schemas.openxmlformats.org/officeDocument/2006/customXml" ds:itemID="{D87A2889-C1FA-4FBC-B0E8-D3C77E009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69E63-D19C-4BF2-A262-89C5E6AB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Letterhead1.dotx</Template>
  <TotalTime>55</TotalTime>
  <Pages>12</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ICS Endava SRL</Company>
  <LinksUpToDate>false</LinksUpToDate>
  <CharactersWithSpaces>26916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Iurie Turcanu</cp:lastModifiedBy>
  <cp:revision>19</cp:revision>
  <dcterms:created xsi:type="dcterms:W3CDTF">2011-07-18T20:24:00Z</dcterms:created>
  <dcterms:modified xsi:type="dcterms:W3CDTF">2011-07-19T06:39:00Z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0x0101009C2B06112D18534C9306C4D577348D5E</vt:lpwstr>
  </property>
</Properties>
</file>